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57" w:after="57"/>
        <w:jc w:val="center"/>
        <w:rPr>
          <w:rFonts w:ascii="Verdana" w:hAnsi="Verdana" w:cs="Arial"/>
          <w:b/>
          <w:bCs/>
          <w:smallCaps/>
          <w:color w:val="000000"/>
          <w:sz w:val="20"/>
          <w:szCs w:val="20"/>
        </w:rPr>
      </w:pPr>
      <w:r>
        <w:rPr>
          <w:rFonts w:cs="Arial" w:ascii="Verdana" w:hAnsi="Verdana"/>
          <w:b/>
          <w:bCs/>
          <w:smallCaps/>
          <w:color w:val="000000"/>
          <w:sz w:val="20"/>
          <w:szCs w:val="20"/>
        </w:rPr>
      </w:r>
    </w:p>
    <w:p>
      <w:pPr>
        <w:pStyle w:val="Normal"/>
        <w:spacing w:lineRule="auto" w:line="276" w:before="0" w:after="0"/>
        <w:jc w:val="center"/>
        <w:rPr/>
      </w:pPr>
      <w:r>
        <w:rPr>
          <w:rFonts w:cs="Arial" w:ascii="Verdana" w:hAnsi="Verdana"/>
          <w:b/>
          <w:bCs/>
          <w:smallCaps/>
          <w:color w:val="000000"/>
          <w:sz w:val="24"/>
          <w:szCs w:val="24"/>
        </w:rPr>
        <w:t xml:space="preserve">EDITAL </w:t>
      </w:r>
    </w:p>
    <w:p>
      <w:pPr>
        <w:pStyle w:val="Normal"/>
        <w:spacing w:lineRule="auto" w:line="276" w:before="0" w:after="0"/>
        <w:jc w:val="center"/>
        <w:rPr>
          <w:rFonts w:ascii="Verdana" w:hAnsi="Verdana"/>
          <w:sz w:val="20"/>
          <w:szCs w:val="20"/>
        </w:rPr>
      </w:pPr>
      <w:r>
        <w:rPr>
          <w:rFonts w:ascii="Verdana" w:hAnsi="Verdana"/>
          <w:sz w:val="20"/>
          <w:szCs w:val="20"/>
        </w:rPr>
      </w:r>
    </w:p>
    <w:p>
      <w:pPr>
        <w:pStyle w:val="Normal"/>
        <w:spacing w:lineRule="auto" w:line="276" w:before="0" w:after="0"/>
        <w:jc w:val="center"/>
        <w:rPr/>
      </w:pPr>
      <w:r>
        <w:rPr>
          <w:rFonts w:cs="Arial" w:ascii="Verdana" w:hAnsi="Verdana"/>
          <w:b/>
          <w:bCs/>
          <w:smallCaps/>
          <w:color w:val="000000"/>
          <w:sz w:val="24"/>
          <w:szCs w:val="24"/>
        </w:rPr>
        <w:t>PREGÃO ELETRÔNICO Nº 057/2024</w:t>
      </w:r>
    </w:p>
    <w:p>
      <w:pPr>
        <w:pStyle w:val="Normal"/>
        <w:spacing w:lineRule="auto" w:line="276" w:before="0" w:after="0"/>
        <w:jc w:val="center"/>
        <w:rPr>
          <w:rFonts w:ascii="Verdana" w:hAnsi="Verdana"/>
          <w:sz w:val="20"/>
          <w:szCs w:val="20"/>
        </w:rPr>
      </w:pPr>
      <w:r>
        <w:rPr>
          <w:rFonts w:ascii="Verdana" w:hAnsi="Verdana"/>
          <w:sz w:val="20"/>
          <w:szCs w:val="20"/>
        </w:rPr>
      </w:r>
    </w:p>
    <w:p>
      <w:pPr>
        <w:pStyle w:val="Normal"/>
        <w:spacing w:lineRule="auto" w:line="276" w:before="0" w:after="0"/>
        <w:jc w:val="center"/>
        <w:rPr/>
      </w:pPr>
      <w:r>
        <w:rPr>
          <w:rFonts w:cs="Arial" w:ascii="Verdana" w:hAnsi="Verdana"/>
          <w:bCs/>
          <w:smallCaps/>
          <w:color w:val="000000"/>
          <w:sz w:val="24"/>
          <w:szCs w:val="24"/>
        </w:rPr>
        <w:t>(Processo Administrativo n° 6911/2024 de 18/09/2024)</w:t>
      </w:r>
    </w:p>
    <w:p>
      <w:pPr>
        <w:pStyle w:val="Normal"/>
        <w:spacing w:lineRule="auto" w:line="276" w:before="57" w:after="57"/>
        <w:jc w:val="center"/>
        <w:rPr>
          <w:rFonts w:ascii="Verdana" w:hAnsi="Verdana"/>
          <w:sz w:val="20"/>
          <w:szCs w:val="20"/>
        </w:rPr>
      </w:pPr>
      <w:r>
        <w:rPr>
          <w:rFonts w:ascii="Verdana" w:hAnsi="Verdana"/>
          <w:sz w:val="20"/>
          <w:szCs w:val="20"/>
        </w:rPr>
      </w:r>
    </w:p>
    <w:p>
      <w:pPr>
        <w:pStyle w:val="BodyText"/>
        <w:spacing w:lineRule="auto" w:line="276" w:before="57" w:after="57"/>
        <w:ind w:hanging="0" w:left="0" w:right="0"/>
        <w:jc w:val="both"/>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57" w:after="57"/>
        <w:ind w:hanging="0" w:left="0" w:right="0"/>
        <w:jc w:val="both"/>
        <w:rPr/>
      </w:pPr>
      <w:r>
        <w:rPr>
          <w:rFonts w:cs="Arial" w:ascii="Verdana" w:hAnsi="Verdana"/>
          <w:b/>
          <w:bCs/>
          <w:color w:val="000000"/>
          <w:sz w:val="20"/>
          <w:szCs w:val="20"/>
        </w:rPr>
        <w:t>Data da sessão: ___/___/2024.</w:t>
      </w:r>
    </w:p>
    <w:p>
      <w:pPr>
        <w:pStyle w:val="Normal"/>
        <w:spacing w:lineRule="auto" w:line="276" w:before="57" w:after="57"/>
        <w:ind w:hanging="0" w:left="0" w:right="0"/>
        <w:rPr/>
      </w:pPr>
      <w:r>
        <w:rPr>
          <w:rFonts w:cs="Arial" w:ascii="Verdana" w:hAnsi="Verdana"/>
          <w:b/>
          <w:bCs/>
          <w:color w:val="000000"/>
          <w:sz w:val="20"/>
          <w:szCs w:val="20"/>
        </w:rPr>
        <w:t xml:space="preserve">Horário: ___ h </w:t>
        <w:tab/>
        <w:t>___0min.</w:t>
      </w:r>
    </w:p>
    <w:p>
      <w:pPr>
        <w:pStyle w:val="Normal"/>
        <w:spacing w:lineRule="auto" w:line="276" w:before="57" w:after="57"/>
        <w:ind w:hanging="0" w:left="0" w:right="0"/>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ListLabel190"/>
            <w:rFonts w:cs="Arial" w:ascii="Verdana" w:hAnsi="Verdana"/>
            <w:b/>
            <w:bCs/>
            <w:color w:val="0563C1"/>
            <w:sz w:val="20"/>
            <w:szCs w:val="20"/>
            <w:u w:val="single"/>
          </w:rPr>
          <w:t>www.portaldecompraspublicas.com.br</w:t>
        </w:r>
      </w:hyperlink>
      <w:bookmarkEnd w:id="0"/>
    </w:p>
    <w:p>
      <w:pPr>
        <w:pStyle w:val="Normal"/>
        <w:spacing w:lineRule="auto" w:line="276" w:before="57" w:after="57"/>
        <w:ind w:hanging="0" w:left="0" w:right="0"/>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ight="0"/>
        <w:rPr/>
      </w:pPr>
      <w:r>
        <w:rPr>
          <w:rFonts w:cs="Arial" w:ascii="Verdana" w:hAnsi="Verdana"/>
          <w:sz w:val="20"/>
          <w:szCs w:val="20"/>
        </w:rPr>
        <w:t>DO OBJETO</w:t>
      </w:r>
    </w:p>
    <w:p>
      <w:pPr>
        <w:pStyle w:val="ListParagraph"/>
        <w:spacing w:lineRule="auto" w:line="276" w:before="57" w:after="57"/>
        <w:ind w:hanging="0" w:left="0" w:right="0"/>
        <w:contextualSpacing w:val="false"/>
        <w:jc w:val="both"/>
        <w:rPr/>
      </w:pPr>
      <w:r>
        <w:rPr>
          <w:rFonts w:cs="Arial" w:ascii="Verdana" w:hAnsi="Verdana"/>
          <w:color w:val="000000"/>
          <w:sz w:val="20"/>
          <w:szCs w:val="20"/>
        </w:rPr>
        <w:t>1.1 O objeto da presente licitação é a aquisição de gêneros alimentícios em atendimento ao Programa Nacional de Alimentação Escolar – PNAE para atender as necessidades da Secretaria Municipal de Educação</w:t>
      </w:r>
      <w:r>
        <w:rPr>
          <w:rFonts w:eastAsia="Batang;바탕" w:cs="Arial" w:ascii="Verdana" w:hAnsi="Verdana"/>
          <w:color w:val="000000"/>
          <w:kern w:val="2"/>
          <w:sz w:val="20"/>
          <w:szCs w:val="20"/>
          <w:lang w:eastAsia="en-US" w:bidi="pt-BR"/>
        </w:rPr>
        <w:t>, deste município, conforme c</w:t>
      </w:r>
      <w:r>
        <w:rPr>
          <w:rFonts w:cs="Arial" w:ascii="Verdana" w:hAnsi="Verdana"/>
          <w:sz w:val="20"/>
          <w:szCs w:val="20"/>
        </w:rPr>
        <w:t>ondições, quantidades e exigências estabelecidas neste Edital e seus anexos.</w:t>
      </w:r>
    </w:p>
    <w:p>
      <w:pPr>
        <w:pStyle w:val="Normal"/>
        <w:spacing w:lineRule="auto" w:line="276" w:before="57" w:after="57"/>
        <w:ind w:hanging="0" w:left="0" w:right="0"/>
        <w:jc w:val="both"/>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tabs>
          <w:tab w:val="clear" w:pos="720"/>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before="57" w:after="57"/>
        <w:ind w:hanging="0" w:left="0" w:right="0"/>
        <w:jc w:val="both"/>
        <w:rPr/>
      </w:pPr>
      <w:r>
        <w:rPr>
          <w:rFonts w:eastAsia="Batang;바탕" w:cs="Arial" w:ascii="Verdana" w:hAnsi="Verdana"/>
          <w:b/>
          <w:bCs/>
          <w:color w:val="000000"/>
          <w:sz w:val="20"/>
          <w:szCs w:val="20"/>
          <w:highlight w:val="yellow"/>
        </w:rPr>
        <w:t>1.3 A licitação correspondente aos itens 0</w:t>
      </w:r>
      <w:r>
        <w:rPr>
          <w:rFonts w:eastAsia="Batang;바탕" w:cs="Arial" w:ascii="Verdana" w:hAnsi="Verdana"/>
          <w:b/>
          <w:bCs/>
          <w:color w:val="000000"/>
          <w:sz w:val="20"/>
          <w:szCs w:val="20"/>
          <w:highlight w:val="yellow"/>
        </w:rPr>
        <w:t>9</w:t>
      </w:r>
      <w:r>
        <w:rPr>
          <w:rFonts w:eastAsia="Batang;바탕" w:cs="Arial" w:ascii="Verdana" w:hAnsi="Verdana"/>
          <w:b/>
          <w:bCs/>
          <w:color w:val="000000"/>
          <w:sz w:val="20"/>
          <w:szCs w:val="20"/>
          <w:highlight w:val="yellow"/>
        </w:rPr>
        <w:t xml:space="preserve"> </w:t>
      </w:r>
      <w:r>
        <w:rPr>
          <w:rFonts w:eastAsia="Batang;바탕" w:cs="Arial" w:ascii="Verdana" w:hAnsi="Verdana"/>
          <w:b/>
          <w:bCs/>
          <w:color w:val="000000"/>
          <w:sz w:val="20"/>
          <w:szCs w:val="20"/>
          <w:highlight w:val="yellow"/>
        </w:rPr>
        <w:t>e 10</w:t>
      </w:r>
      <w:r>
        <w:rPr>
          <w:rFonts w:eastAsia="Batang;바탕" w:cs="Arial" w:ascii="Verdana" w:hAnsi="Verdana"/>
          <w:b/>
          <w:bCs/>
          <w:color w:val="000000"/>
          <w:sz w:val="20"/>
          <w:szCs w:val="20"/>
          <w:highlight w:val="yellow"/>
        </w:rPr>
        <w:t xml:space="preserve"> ocorrerá com exclusividade para microempresas ou empresas de pequeno porte. </w:t>
      </w:r>
      <w:r>
        <w:rPr>
          <w:rFonts w:eastAsia="Batang;바탕" w:cs="Arial" w:ascii="Verdana" w:hAnsi="Verdana"/>
          <w:b/>
          <w:bCs/>
          <w:color w:val="000000"/>
          <w:sz w:val="20"/>
          <w:szCs w:val="20"/>
          <w:highlight w:val="yellow"/>
        </w:rPr>
        <w:t>Os demais itens são destinados a ampla concorrência.</w:t>
      </w:r>
    </w:p>
    <w:p>
      <w:pPr>
        <w:pStyle w:val="Normal"/>
        <w:spacing w:lineRule="auto" w:line="276" w:before="57" w:after="57"/>
        <w:ind w:hanging="0" w:left="0" w:right="0"/>
        <w:jc w:val="both"/>
        <w:rPr>
          <w:rFonts w:ascii="Verdana" w:hAnsi="Verdana" w:cs="Arial"/>
          <w:iCs/>
          <w:color w:val="000000"/>
          <w:sz w:val="20"/>
          <w:szCs w:val="20"/>
        </w:rPr>
      </w:pPr>
      <w:r>
        <w:rPr>
          <w:rFonts w:cs="Arial" w:ascii="Verdana" w:hAnsi="Verdana"/>
          <w:iCs/>
          <w:color w:val="000000"/>
          <w:sz w:val="20"/>
          <w:szCs w:val="20"/>
        </w:rPr>
      </w:r>
    </w:p>
    <w:p>
      <w:pPr>
        <w:pStyle w:val="Nivel01"/>
        <w:numPr>
          <w:ilvl w:val="0"/>
          <w:numId w:val="2"/>
        </w:numPr>
        <w:spacing w:lineRule="auto" w:line="276" w:before="57" w:after="57"/>
        <w:ind w:hanging="0" w:left="0" w:right="0"/>
        <w:rPr/>
      </w:pPr>
      <w:r>
        <w:rPr>
          <w:rFonts w:cs="Arial" w:ascii="Verdana" w:hAnsi="Verdana"/>
          <w:sz w:val="20"/>
          <w:szCs w:val="20"/>
        </w:rPr>
        <w:t>DOS RECURSOS ORÇAMENTÁRIOS</w:t>
      </w:r>
    </w:p>
    <w:p>
      <w:pPr>
        <w:pStyle w:val="Normal"/>
        <w:spacing w:lineRule="auto" w:line="276" w:before="57" w:after="57"/>
        <w:ind w:hanging="0" w:left="0" w:right="0"/>
        <w:jc w:val="both"/>
        <w:rPr/>
      </w:pPr>
      <w:r>
        <w:rPr>
          <w:rFonts w:cs="Arial" w:ascii="Verdana" w:hAnsi="Verdana"/>
          <w:color w:val="000000"/>
          <w:sz w:val="20"/>
          <w:szCs w:val="20"/>
        </w:rPr>
        <w:t xml:space="preserve">2.1. </w:t>
      </w:r>
      <w:r>
        <w:rPr>
          <w:rFonts w:cs="Times New Roman" w:ascii="Verdana" w:hAnsi="Verdana"/>
          <w:color w:val="000000"/>
          <w:sz w:val="20"/>
          <w:szCs w:val="20"/>
        </w:rPr>
        <w:t>Os recursos necessários para a prestação dos serviços correrão a conta de dotações próprias consignadas no Orçamento vigente, conforme discriminado abaixo:</w:t>
      </w:r>
    </w:p>
    <w:p>
      <w:pPr>
        <w:pStyle w:val="Normal"/>
        <w:numPr>
          <w:ilvl w:val="0"/>
          <w:numId w:val="4"/>
        </w:numPr>
        <w:spacing w:lineRule="auto" w:line="276" w:before="57" w:after="57"/>
        <w:ind w:hanging="0" w:left="0" w:right="0"/>
        <w:jc w:val="both"/>
        <w:rPr/>
      </w:pPr>
      <w:r>
        <w:rPr>
          <w:rFonts w:cs="Times New Roman" w:ascii="Verdana" w:hAnsi="Verdana"/>
          <w:b/>
          <w:bCs/>
          <w:sz w:val="20"/>
          <w:szCs w:val="20"/>
          <w:lang w:eastAsia="ar-SA"/>
        </w:rPr>
        <w:t>Secretaria Municipal de Educação</w:t>
      </w:r>
    </w:p>
    <w:p>
      <w:pPr>
        <w:pStyle w:val="Normal"/>
        <w:spacing w:lineRule="auto" w:line="276" w:before="57" w:after="57"/>
        <w:ind w:hanging="0" w:left="0" w:right="0"/>
        <w:rPr/>
      </w:pPr>
      <w:r>
        <w:rPr>
          <w:rFonts w:cs="Times New Roman" w:ascii="Verdana" w:hAnsi="Verdana"/>
          <w:color w:val="000000"/>
          <w:sz w:val="20"/>
          <w:szCs w:val="20"/>
          <w:lang w:eastAsia="ar-SA"/>
        </w:rPr>
        <w:tab/>
        <w:t xml:space="preserve"> Ficha/Fonte: 589 – 15000025000000.</w:t>
      </w:r>
    </w:p>
    <w:p>
      <w:pPr>
        <w:pStyle w:val="Normal"/>
        <w:spacing w:lineRule="auto" w:line="276" w:before="57" w:after="57"/>
        <w:ind w:hanging="0" w:left="0" w:right="0"/>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ight="0"/>
        <w:jc w:val="both"/>
        <w:rPr/>
      </w:pPr>
      <w:r>
        <w:rPr>
          <w:rFonts w:cs="Arial" w:ascii="Verdana" w:hAnsi="Verdana"/>
          <w:sz w:val="20"/>
          <w:szCs w:val="20"/>
        </w:rPr>
        <w:t>DO CREDENCIAMENTO</w:t>
      </w:r>
    </w:p>
    <w:p>
      <w:pPr>
        <w:pStyle w:val="Default"/>
        <w:spacing w:lineRule="auto" w:line="276" w:before="57" w:after="57"/>
        <w:ind w:hanging="0" w:left="0" w:right="0"/>
        <w:jc w:val="both"/>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57" w:after="57"/>
        <w:ind w:hanging="0" w:left="0" w:right="0"/>
        <w:jc w:val="both"/>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57" w:after="57"/>
        <w:ind w:hanging="0" w:left="0" w:right="0"/>
        <w:jc w:val="both"/>
        <w:rPr/>
      </w:pPr>
      <w:r>
        <w:rPr>
          <w:rFonts w:ascii="Verdana" w:hAnsi="Verdana"/>
          <w:sz w:val="20"/>
          <w:szCs w:val="20"/>
        </w:rPr>
        <w:t xml:space="preserve">3.3. É de exclusiva responsabilidade do usuário o sigilo da senha, bem como seu uso em qualquer transação efetuada. </w:t>
      </w:r>
    </w:p>
    <w:p>
      <w:pPr>
        <w:pStyle w:val="Default"/>
        <w:widowControl/>
        <w:suppressAutoHyphens w:val="false"/>
        <w:bidi w:val="0"/>
        <w:spacing w:lineRule="auto" w:line="276" w:before="57" w:after="57"/>
        <w:ind w:hanging="0" w:left="0" w:right="0"/>
        <w:jc w:val="both"/>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before="57" w:after="57"/>
        <w:ind w:hanging="0" w:left="0" w:right="0"/>
        <w:jc w:val="both"/>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57" w:after="57"/>
        <w:ind w:hanging="0" w:left="0" w:right="0"/>
        <w:jc w:val="both"/>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spacing w:lineRule="auto" w:line="276" w:before="57" w:after="57"/>
        <w:ind w:hanging="0" w:left="0" w:right="0"/>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ight="0"/>
        <w:rPr/>
      </w:pPr>
      <w:r>
        <w:rPr>
          <w:rFonts w:cs="Arial" w:ascii="Verdana" w:hAnsi="Verdana"/>
          <w:sz w:val="20"/>
          <w:szCs w:val="20"/>
        </w:rPr>
        <w:t>DA PARTICIPAÇÃO NO PREGÃO.</w:t>
      </w:r>
    </w:p>
    <w:p>
      <w:pPr>
        <w:pStyle w:val="Normal"/>
        <w:spacing w:lineRule="auto" w:line="276" w:before="57" w:after="57"/>
        <w:ind w:hanging="0" w:left="0" w:right="0"/>
        <w:jc w:val="both"/>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before="57" w:after="57"/>
        <w:ind w:hanging="0" w:left="0" w:right="0"/>
        <w:jc w:val="both"/>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ind w:hanging="0" w:left="0" w:right="0"/>
        <w:jc w:val="both"/>
        <w:rPr/>
      </w:pPr>
      <w:r>
        <w:rPr>
          <w:rFonts w:cs="Arial" w:ascii="Verdana" w:hAnsi="Verdana"/>
          <w:bCs/>
          <w:iCs/>
          <w:color w:val="000000"/>
          <w:sz w:val="20"/>
          <w:szCs w:val="20"/>
        </w:rPr>
        <w:t>4.2.1</w:t>
      </w:r>
      <w:r>
        <w:rPr>
          <w:rFonts w:cs="Arial" w:ascii="Verdana" w:hAnsi="Verdana"/>
          <w:b/>
          <w:bCs/>
          <w:iCs/>
          <w:color w:val="000000"/>
          <w:sz w:val="20"/>
          <w:szCs w:val="20"/>
        </w:rPr>
        <w:t xml:space="preserve"> </w:t>
      </w:r>
      <w:r>
        <w:rPr>
          <w:rFonts w:cs="Arial" w:ascii="Verdana" w:hAnsi="Verdana"/>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76" w:before="57" w:after="57"/>
        <w:ind w:hanging="0" w:left="0" w:right="0"/>
        <w:jc w:val="both"/>
        <w:rPr/>
      </w:pPr>
      <w:r>
        <w:rPr>
          <w:rFonts w:cs="Arial" w:ascii="Verdana" w:hAnsi="Verdana"/>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cs="Arial" w:ascii="Verdana" w:hAnsi="Verdana"/>
          <w:b/>
          <w:sz w:val="20"/>
          <w:szCs w:val="20"/>
        </w:rPr>
        <w:t xml:space="preserve">junto a sua documentação de habilitação, todas as certidões relativas a regularidade fiscal, mesmo que contenham alguma restrição, e ainda, </w:t>
      </w:r>
      <w:r>
        <w:rPr>
          <w:rFonts w:cs="Arial" w:ascii="Verdana" w:hAnsi="Verdana"/>
          <w:b/>
          <w:bCs/>
          <w:sz w:val="20"/>
          <w:szCs w:val="20"/>
        </w:rPr>
        <w:t>a certidão expedida pela Junta Comercial da região sede da empresa,</w:t>
      </w:r>
      <w:r>
        <w:rPr>
          <w:rFonts w:cs="Arial" w:ascii="Verdana" w:hAnsi="Verdana"/>
          <w:sz w:val="20"/>
          <w:szCs w:val="20"/>
        </w:rPr>
        <w:t xml:space="preserve"> demonstrando a situação de enquadramento, emitida a partir do ano de </w:t>
      </w:r>
      <w:r>
        <w:rPr>
          <w:rFonts w:cs="Arial" w:ascii="Verdana" w:hAnsi="Verdana"/>
          <w:b/>
          <w:color w:val="FF0000"/>
          <w:sz w:val="20"/>
          <w:szCs w:val="20"/>
        </w:rPr>
        <w:t xml:space="preserve">2024, </w:t>
      </w:r>
      <w:r>
        <w:rPr>
          <w:rFonts w:cs="Arial" w:ascii="Verdana" w:hAnsi="Verdana"/>
          <w:sz w:val="20"/>
          <w:szCs w:val="20"/>
        </w:rPr>
        <w:t>sob pena de perda do direito de gozo dos referidos benefícios</w:t>
      </w:r>
      <w:r>
        <w:rPr>
          <w:rFonts w:cs="Arial" w:ascii="Verdana" w:hAnsi="Verdana"/>
          <w:bCs/>
          <w:sz w:val="20"/>
          <w:szCs w:val="20"/>
        </w:rPr>
        <w:t>.</w:t>
      </w:r>
    </w:p>
    <w:p>
      <w:pPr>
        <w:pStyle w:val="Normal"/>
        <w:snapToGrid w:val="false"/>
        <w:spacing w:lineRule="auto" w:line="276" w:before="57" w:after="57"/>
        <w:ind w:hanging="0" w:left="0" w:right="0"/>
        <w:jc w:val="both"/>
        <w:rPr/>
      </w:pPr>
      <w:r>
        <w:rPr>
          <w:rFonts w:cs="Arial" w:ascii="Verdana" w:hAnsi="Verdana"/>
          <w:bCs/>
          <w:color w:val="000000"/>
          <w:sz w:val="20"/>
          <w:szCs w:val="20"/>
        </w:rPr>
        <w:t>4.3 Não poderão participar desta licitação os interessados:</w:t>
      </w:r>
    </w:p>
    <w:p>
      <w:pPr>
        <w:pStyle w:val="Normal"/>
        <w:tabs>
          <w:tab w:val="clear" w:pos="720"/>
          <w:tab w:val="left" w:pos="1440" w:leader="none"/>
        </w:tabs>
        <w:snapToGrid w:val="false"/>
        <w:spacing w:lineRule="auto" w:line="276" w:before="57" w:after="57"/>
        <w:ind w:hanging="0" w:left="0" w:right="0"/>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lineRule="auto" w:line="276" w:before="57" w:after="57"/>
        <w:ind w:hanging="0" w:left="0" w:right="0"/>
        <w:jc w:val="both"/>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lineRule="auto" w:line="276" w:before="57" w:after="57"/>
        <w:ind w:hanging="0" w:left="0" w:right="0"/>
        <w:jc w:val="both"/>
        <w:rPr/>
      </w:pPr>
      <w:r>
        <w:rPr>
          <w:rFonts w:cs="Arial" w:ascii="Verdana" w:hAnsi="Verdana"/>
          <w:bCs/>
          <w:color w:val="000000"/>
          <w:sz w:val="20"/>
          <w:szCs w:val="20"/>
        </w:rPr>
        <w:t>4.3.3 A</w:t>
      </w:r>
      <w:bookmarkStart w:id="1"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1"/>
    </w:p>
    <w:p>
      <w:pPr>
        <w:pStyle w:val="Normal"/>
        <w:tabs>
          <w:tab w:val="clear" w:pos="720"/>
          <w:tab w:val="left" w:pos="1440" w:leader="none"/>
        </w:tabs>
        <w:snapToGrid w:val="false"/>
        <w:spacing w:lineRule="auto" w:line="276" w:before="57" w:after="57"/>
        <w:ind w:hanging="0" w:left="0" w:right="0"/>
        <w:jc w:val="both"/>
        <w:rPr/>
      </w:pPr>
      <w:r>
        <w:rPr>
          <w:rFonts w:eastAsia="Arial Unicode MS" w:cs="Arial" w:ascii="Verdana" w:hAnsi="Verdana"/>
          <w:color w:val="000000"/>
          <w:sz w:val="20"/>
          <w:szCs w:val="20"/>
        </w:rPr>
        <w:t>4.3.4 E</w:t>
      </w:r>
      <w:bookmarkStart w:id="2"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pPr>
        <w:pStyle w:val="Normal"/>
        <w:tabs>
          <w:tab w:val="clear" w:pos="720"/>
          <w:tab w:val="left" w:pos="1440" w:leader="none"/>
        </w:tabs>
        <w:snapToGrid w:val="false"/>
        <w:spacing w:lineRule="auto" w:line="276" w:before="57" w:after="57"/>
        <w:ind w:hanging="0" w:left="0" w:right="0"/>
        <w:jc w:val="both"/>
        <w:rPr/>
      </w:pPr>
      <w:r>
        <w:rPr>
          <w:rFonts w:cs="Arial" w:ascii="Verdana" w:hAnsi="Verdana"/>
          <w:color w:val="000000"/>
          <w:sz w:val="20"/>
          <w:szCs w:val="20"/>
        </w:rPr>
        <w:t>4.3.5 P</w:t>
      </w:r>
      <w:bookmarkStart w:id="3"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3"/>
    </w:p>
    <w:p>
      <w:pPr>
        <w:pStyle w:val="Normal"/>
        <w:tabs>
          <w:tab w:val="clear" w:pos="720"/>
          <w:tab w:val="left" w:pos="1440" w:leader="none"/>
        </w:tabs>
        <w:snapToGrid w:val="false"/>
        <w:spacing w:lineRule="auto" w:line="276" w:before="57" w:after="57"/>
        <w:ind w:hanging="0" w:left="0" w:right="0"/>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76" w:before="57" w:after="57"/>
        <w:ind w:hanging="0" w:left="0" w:right="0"/>
        <w:jc w:val="both"/>
        <w:rPr/>
      </w:pPr>
      <w:r>
        <w:rPr>
          <w:rFonts w:cs="Arial" w:ascii="Verdana" w:hAnsi="Verdana"/>
          <w:color w:val="000000"/>
          <w:sz w:val="20"/>
          <w:szCs w:val="20"/>
        </w:rPr>
        <w:t>4.3.7 E</w:t>
      </w:r>
      <w:bookmarkStart w:id="4" w:name="_Ref113883579"/>
      <w:r>
        <w:rPr>
          <w:rFonts w:cs="Arial" w:ascii="Verdana" w:hAnsi="Verdana"/>
          <w:color w:val="000000"/>
          <w:sz w:val="20"/>
          <w:szCs w:val="20"/>
        </w:rPr>
        <w:t>mpresas controladoras, controladas ou coligadas, nos termos da Lei nº 6.404, de 15 de dezembro de 1976, concorrendo entre si;</w:t>
      </w:r>
      <w:bookmarkEnd w:id="4"/>
    </w:p>
    <w:p>
      <w:pPr>
        <w:pStyle w:val="Normal"/>
        <w:tabs>
          <w:tab w:val="clear" w:pos="720"/>
          <w:tab w:val="left" w:pos="1440" w:leader="none"/>
        </w:tabs>
        <w:snapToGrid w:val="false"/>
        <w:spacing w:lineRule="auto" w:line="276" w:before="57" w:after="57"/>
        <w:ind w:hanging="0" w:left="0" w:right="0"/>
        <w:jc w:val="both"/>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57"/>
        <w:ind w:hanging="0" w:left="0" w:right="0"/>
        <w:jc w:val="both"/>
        <w:rPr/>
      </w:pPr>
      <w:r>
        <w:rPr>
          <w:rFonts w:cs="Arial" w:ascii="Verdana" w:hAnsi="Verdana"/>
          <w:color w:val="000000"/>
          <w:sz w:val="20"/>
          <w:szCs w:val="20"/>
        </w:rPr>
        <w:t>4.3.9 A</w:t>
      </w:r>
      <w:bookmarkStart w:id="5" w:name="_Ref113962336"/>
      <w:r>
        <w:rPr>
          <w:rFonts w:cs="Arial" w:ascii="Verdana" w:hAnsi="Verdana"/>
          <w:color w:val="000000"/>
          <w:sz w:val="20"/>
          <w:szCs w:val="20"/>
        </w:rPr>
        <w:t>gente público do órgão ou entidade licitante;</w:t>
      </w:r>
      <w:bookmarkEnd w:id="5"/>
    </w:p>
    <w:p>
      <w:pPr>
        <w:pStyle w:val="Normal"/>
        <w:snapToGrid w:val="false"/>
        <w:spacing w:lineRule="auto" w:line="276" w:before="57" w:after="57"/>
        <w:ind w:hanging="0" w:left="0" w:right="0"/>
        <w:jc w:val="both"/>
        <w:rPr/>
      </w:pPr>
      <w:r>
        <w:rPr>
          <w:rFonts w:cs="Arial" w:ascii="Verdana" w:hAnsi="Verdana"/>
          <w:bCs/>
          <w:color w:val="000000"/>
          <w:sz w:val="20"/>
          <w:szCs w:val="20"/>
        </w:rPr>
        <w:t>4.3.10 Pessoas jurídicas reunidas em consórcio;</w:t>
      </w:r>
    </w:p>
    <w:p>
      <w:pPr>
        <w:pStyle w:val="Normal"/>
        <w:snapToGrid w:val="false"/>
        <w:spacing w:lineRule="auto" w:line="276" w:before="57" w:after="57"/>
        <w:ind w:hanging="0" w:left="0" w:right="0"/>
        <w:jc w:val="both"/>
        <w:rPr/>
      </w:pPr>
      <w:r>
        <w:rPr>
          <w:rFonts w:cs="Arial" w:ascii="Verdana" w:hAnsi="Verdana"/>
          <w:bCs/>
          <w:color w:val="000000"/>
          <w:sz w:val="20"/>
          <w:szCs w:val="20"/>
        </w:rPr>
        <w:t>4.3.11 Organizações da Sociedade Civil interesse Público – OSCIP, atuando nessa condição;</w:t>
      </w:r>
    </w:p>
    <w:p>
      <w:pPr>
        <w:pStyle w:val="Normal"/>
        <w:snapToGrid w:val="false"/>
        <w:spacing w:lineRule="auto" w:line="276" w:before="57" w:after="57"/>
        <w:ind w:hanging="0" w:left="0" w:right="0"/>
        <w:jc w:val="both"/>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76" w:before="57" w:after="57"/>
        <w:ind w:hanging="0" w:left="0" w:right="0"/>
        <w:rPr/>
      </w:pPr>
      <w:r>
        <w:rPr>
          <w:rFonts w:eastAsia="Segoe UI" w:cs="Arial" w:ascii="Verdana" w:hAnsi="Verdana"/>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76" w:before="57" w:after="57"/>
        <w:ind w:hanging="0" w:left="0" w:right="0"/>
        <w:rPr/>
      </w:pPr>
      <w:bookmarkStart w:id="6" w:name="art14§2"/>
      <w:bookmarkEnd w:id="6"/>
      <w:r>
        <w:rPr>
          <w:rFonts w:eastAsia="Segoe UI" w:cs="Arial" w:ascii="Verdana" w:hAnsi="Verdana"/>
          <w:bCs/>
          <w:color w:val="000000"/>
          <w:sz w:val="20"/>
          <w:szCs w:val="2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76" w:before="57" w:after="57"/>
        <w:ind w:hanging="0" w:left="0" w:right="0"/>
        <w:rPr/>
      </w:pPr>
      <w:bookmarkStart w:id="7" w:name="art14§3"/>
      <w:bookmarkEnd w:id="7"/>
      <w:r>
        <w:rPr>
          <w:rFonts w:eastAsia="Segoe UI" w:cs="Arial" w:ascii="Verdana" w:hAnsi="Verdana"/>
          <w:bCs/>
          <w:color w:val="000000"/>
          <w:sz w:val="20"/>
          <w:szCs w:val="20"/>
        </w:rPr>
        <w:t>4.6 Equiparam-se aos autores do projeto as empresas integrantes do mesmo grupo econômico.</w:t>
      </w:r>
    </w:p>
    <w:p>
      <w:pPr>
        <w:pStyle w:val="Nivel2"/>
        <w:numPr>
          <w:ilvl w:val="0"/>
          <w:numId w:val="0"/>
        </w:numPr>
        <w:spacing w:lineRule="auto" w:line="276" w:before="57" w:after="57"/>
        <w:ind w:hanging="0" w:left="0" w:right="0"/>
        <w:rPr/>
      </w:pPr>
      <w:bookmarkStart w:id="8" w:name="art14§4"/>
      <w:bookmarkEnd w:id="8"/>
      <w:r>
        <w:rPr>
          <w:rFonts w:eastAsia="Segoe UI" w:cs="Arial" w:ascii="Verdana" w:hAnsi="Verdana"/>
          <w:bCs/>
          <w:color w:val="000000"/>
          <w:sz w:val="20"/>
          <w:szCs w:val="2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76" w:before="57" w:after="57"/>
        <w:ind w:hanging="0" w:left="0" w:right="0"/>
        <w:rPr/>
      </w:pPr>
      <w:bookmarkStart w:id="9" w:name="art14§5"/>
      <w:bookmarkEnd w:id="9"/>
      <w:r>
        <w:rPr>
          <w:rFonts w:eastAsia="Segoe UI" w:cs="Arial" w:ascii="Verdana" w:hAnsi="Verdana"/>
          <w:bCs/>
          <w:color w:val="000000"/>
          <w:sz w:val="20"/>
          <w:szCs w:val="2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sz w:val="20"/>
          <w:szCs w:val="20"/>
          <w:u w:val="none"/>
        </w:rPr>
        <w:t>Lei nº 14.133/2021</w:t>
      </w:r>
      <w:r>
        <w:rPr>
          <w:rFonts w:eastAsia="Segoe UI" w:cs="Arial" w:ascii="Verdana" w:hAnsi="Verdana"/>
          <w:bCs/>
          <w:color w:val="000000"/>
          <w:sz w:val="20"/>
          <w:szCs w:val="20"/>
        </w:rPr>
        <w:t>.</w:t>
      </w:r>
    </w:p>
    <w:p>
      <w:pPr>
        <w:pStyle w:val="Nivel2"/>
        <w:numPr>
          <w:ilvl w:val="0"/>
          <w:numId w:val="0"/>
        </w:numPr>
        <w:spacing w:lineRule="auto" w:line="276" w:before="57" w:after="57"/>
        <w:ind w:hanging="0" w:left="0" w:right="0"/>
        <w:rPr/>
      </w:pPr>
      <w:r>
        <w:rPr>
          <w:rFonts w:eastAsia="Segoe UI" w:cs="Arial" w:ascii="Verdana" w:hAnsi="Verdana"/>
          <w:bCs/>
          <w:color w:val="000000"/>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spacing w:lineRule="auto" w:line="276" w:before="57" w:after="57"/>
        <w:ind w:hanging="0" w:left="0" w:right="0"/>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ight="0"/>
        <w:rPr/>
      </w:pPr>
      <w:r>
        <w:rPr>
          <w:rFonts w:cs="Arial" w:ascii="Verdana" w:hAnsi="Verdana"/>
          <w:sz w:val="20"/>
          <w:szCs w:val="20"/>
        </w:rPr>
        <w:t>DA APRESENTAÇÃO DA PROPOSTA E DOS DOCUMENTOS DE HABILITAÇÃO</w:t>
      </w:r>
    </w:p>
    <w:p>
      <w:pPr>
        <w:pStyle w:val="Normal"/>
        <w:numPr>
          <w:ilvl w:val="1"/>
          <w:numId w:val="14"/>
        </w:numPr>
        <w:tabs>
          <w:tab w:val="clear" w:pos="720"/>
          <w:tab w:val="left" w:pos="450" w:leader="none"/>
          <w:tab w:val="left" w:pos="1450" w:leader="none"/>
        </w:tabs>
        <w:spacing w:lineRule="auto" w:line="276" w:before="57" w:after="57"/>
        <w:ind w:hanging="0" w:left="0" w:right="0"/>
        <w:jc w:val="both"/>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5"/>
        </w:numPr>
        <w:tabs>
          <w:tab w:val="clear" w:pos="720"/>
          <w:tab w:val="left" w:pos="450" w:leader="none"/>
        </w:tabs>
        <w:spacing w:lineRule="auto" w:line="276" w:before="57" w:after="57"/>
        <w:ind w:hanging="0" w:left="0" w:right="0"/>
        <w:jc w:val="both"/>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6"/>
        </w:numPr>
        <w:tabs>
          <w:tab w:val="clear" w:pos="720"/>
          <w:tab w:val="left" w:pos="450" w:leader="none"/>
        </w:tabs>
        <w:spacing w:lineRule="auto" w:line="276" w:before="57" w:after="57"/>
        <w:ind w:hanging="0" w:left="0" w:right="0"/>
        <w:jc w:val="both"/>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7"/>
        </w:numPr>
        <w:tabs>
          <w:tab w:val="clear" w:pos="720"/>
          <w:tab w:val="left" w:pos="450" w:leader="none"/>
        </w:tabs>
        <w:spacing w:lineRule="auto" w:line="276" w:before="57" w:after="57"/>
        <w:ind w:hanging="0" w:left="0" w:right="0"/>
        <w:jc w:val="both"/>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8"/>
        </w:numPr>
        <w:tabs>
          <w:tab w:val="clear" w:pos="720"/>
          <w:tab w:val="left" w:pos="450" w:leader="none"/>
        </w:tabs>
        <w:spacing w:lineRule="auto" w:line="276" w:before="57" w:after="57"/>
        <w:ind w:hanging="0" w:left="0" w:right="0"/>
        <w:jc w:val="both"/>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9"/>
        </w:numPr>
        <w:tabs>
          <w:tab w:val="clear" w:pos="720"/>
          <w:tab w:val="left" w:pos="450" w:leader="none"/>
        </w:tabs>
        <w:spacing w:lineRule="auto" w:line="276" w:before="57" w:after="57"/>
        <w:ind w:hanging="0" w:left="0" w:right="0"/>
        <w:jc w:val="both"/>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0"/>
        </w:numPr>
        <w:tabs>
          <w:tab w:val="clear" w:pos="720"/>
          <w:tab w:val="left" w:pos="450" w:leader="none"/>
        </w:tabs>
        <w:spacing w:lineRule="auto" w:line="276" w:before="57" w:after="57"/>
        <w:ind w:hanging="0" w:left="0" w:right="0"/>
        <w:jc w:val="both"/>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1"/>
        </w:numPr>
        <w:tabs>
          <w:tab w:val="clear" w:pos="720"/>
          <w:tab w:val="left" w:pos="450" w:leader="none"/>
        </w:tabs>
        <w:spacing w:lineRule="auto" w:line="276" w:before="57" w:after="57"/>
        <w:ind w:hanging="0" w:left="0" w:right="0"/>
        <w:jc w:val="both"/>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20"/>
          <w:tab w:val="left" w:pos="450" w:leader="none"/>
        </w:tabs>
        <w:spacing w:lineRule="auto" w:line="276" w:before="57" w:after="57"/>
        <w:ind w:hanging="0" w:left="0" w:right="0"/>
        <w:jc w:val="both"/>
        <w:rPr>
          <w:rFonts w:ascii="Verdana" w:hAnsi="Verdana" w:cs="Arial"/>
          <w:color w:val="000000"/>
          <w:sz w:val="20"/>
          <w:szCs w:val="20"/>
        </w:rPr>
      </w:pPr>
      <w:r>
        <w:rPr/>
      </w:r>
    </w:p>
    <w:p>
      <w:pPr>
        <w:pStyle w:val="Nivel01"/>
        <w:numPr>
          <w:ilvl w:val="0"/>
          <w:numId w:val="2"/>
        </w:numPr>
        <w:spacing w:lineRule="auto" w:line="276" w:before="57" w:after="57"/>
        <w:ind w:hanging="0" w:left="0" w:right="0"/>
        <w:rPr/>
      </w:pPr>
      <w:r>
        <w:rPr>
          <w:rFonts w:cs="Arial" w:ascii="Verdana" w:hAnsi="Verdana"/>
          <w:sz w:val="20"/>
          <w:szCs w:val="20"/>
        </w:rPr>
        <w:t>DO PREENCHIMENTO DA PROPOSTA</w:t>
      </w:r>
    </w:p>
    <w:p>
      <w:pPr>
        <w:pStyle w:val="Normal"/>
        <w:numPr>
          <w:ilvl w:val="1"/>
          <w:numId w:val="2"/>
        </w:numPr>
        <w:tabs>
          <w:tab w:val="clear" w:pos="720"/>
          <w:tab w:val="left" w:pos="450" w:leader="none"/>
        </w:tabs>
        <w:spacing w:lineRule="auto" w:line="276" w:before="57" w:after="57"/>
        <w:ind w:hanging="0" w:left="0" w:right="0"/>
        <w:jc w:val="both"/>
        <w:rPr/>
      </w:pPr>
      <w:r>
        <w:rPr>
          <w:rFonts w:cs="Arial" w:ascii="Verdana" w:hAnsi="Verdana"/>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2"/>
          <w:numId w:val="2"/>
        </w:numPr>
        <w:tabs>
          <w:tab w:val="clear" w:pos="720"/>
          <w:tab w:val="left" w:pos="617" w:leader="none"/>
          <w:tab w:val="left" w:pos="1083" w:leader="none"/>
        </w:tabs>
        <w:snapToGrid w:val="false"/>
        <w:spacing w:lineRule="auto" w:line="276" w:before="57" w:after="57"/>
        <w:ind w:hanging="0" w:left="0" w:right="0"/>
        <w:jc w:val="both"/>
        <w:rPr/>
      </w:pPr>
      <w:r>
        <w:rPr>
          <w:rFonts w:cs="Arial" w:ascii="Verdana" w:hAnsi="Verdana"/>
          <w:iCs/>
          <w:color w:val="000000"/>
          <w:sz w:val="20"/>
          <w:szCs w:val="20"/>
        </w:rPr>
        <w:t>Valor unitário e total do item;</w:t>
      </w:r>
    </w:p>
    <w:p>
      <w:pPr>
        <w:pStyle w:val="Normal"/>
        <w:tabs>
          <w:tab w:val="clear" w:pos="720"/>
          <w:tab w:val="left" w:pos="617" w:leader="none"/>
          <w:tab w:val="left" w:pos="1083" w:leader="none"/>
        </w:tabs>
        <w:snapToGrid w:val="false"/>
        <w:spacing w:lineRule="auto" w:line="276" w:before="57" w:after="57"/>
        <w:ind w:hanging="0" w:left="0" w:right="0"/>
        <w:jc w:val="both"/>
        <w:rPr/>
      </w:pPr>
      <w:r>
        <w:rPr>
          <w:rFonts w:cs="Arial" w:ascii="Verdana" w:hAnsi="Verdana"/>
          <w:iCs/>
          <w:color w:val="000000"/>
          <w:sz w:val="20"/>
          <w:szCs w:val="20"/>
        </w:rPr>
        <w:t xml:space="preserve">6.1.1.1 Serão admitidos no preço proposto a utilização de até </w:t>
      </w:r>
      <w:r>
        <w:rPr>
          <w:rFonts w:cs="Arial" w:ascii="Verdana" w:hAnsi="Verdana"/>
          <w:b/>
          <w:bCs/>
          <w:iCs/>
          <w:color w:val="000000"/>
          <w:sz w:val="20"/>
          <w:szCs w:val="20"/>
        </w:rPr>
        <w:t>02 (duas) casa decimais após a vírgula,</w:t>
      </w:r>
      <w:r>
        <w:rPr>
          <w:rFonts w:cs="Arial" w:ascii="Verdana" w:hAnsi="Verdana"/>
          <w:iCs/>
          <w:color w:val="000000"/>
          <w:sz w:val="20"/>
          <w:szCs w:val="20"/>
        </w:rPr>
        <w:t xml:space="preserve"> expressos em moeda nacional. </w:t>
      </w:r>
    </w:p>
    <w:p>
      <w:pPr>
        <w:pStyle w:val="Normal"/>
        <w:tabs>
          <w:tab w:val="clear" w:pos="720"/>
          <w:tab w:val="left" w:pos="617" w:leader="none"/>
          <w:tab w:val="left" w:pos="1440" w:leader="none"/>
        </w:tabs>
        <w:snapToGrid w:val="false"/>
        <w:spacing w:lineRule="auto" w:line="276" w:before="57" w:after="57"/>
        <w:ind w:hanging="0" w:left="0" w:right="0"/>
        <w:jc w:val="both"/>
        <w:rPr/>
      </w:pPr>
      <w:r>
        <w:rPr>
          <w:rFonts w:cs="Arial" w:ascii="Verdana" w:hAnsi="Verdana"/>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pPr>
        <w:pStyle w:val="Normal"/>
        <w:tabs>
          <w:tab w:val="clear" w:pos="720"/>
          <w:tab w:val="left" w:pos="617" w:leader="none"/>
          <w:tab w:val="left" w:pos="1083" w:leader="none"/>
        </w:tabs>
        <w:snapToGrid w:val="false"/>
        <w:spacing w:lineRule="auto" w:line="276" w:before="57" w:after="57"/>
        <w:ind w:hanging="0" w:left="0" w:right="0"/>
        <w:jc w:val="both"/>
        <w:rPr/>
      </w:pPr>
      <w:r>
        <w:rPr>
          <w:rFonts w:cs="Arial" w:ascii="Verdana" w:hAnsi="Verdana"/>
          <w:bCs/>
          <w:iCs/>
          <w:color w:val="000000"/>
          <w:sz w:val="20"/>
          <w:szCs w:val="20"/>
        </w:rPr>
        <w:t>6.2. Todas as especificações do objeto contidas na proposta vinculam a Contratada;</w:t>
      </w:r>
    </w:p>
    <w:p>
      <w:pPr>
        <w:pStyle w:val="Normal"/>
        <w:tabs>
          <w:tab w:val="clear" w:pos="720"/>
          <w:tab w:val="left" w:pos="617" w:leader="none"/>
          <w:tab w:val="left" w:pos="1083" w:leader="none"/>
        </w:tabs>
        <w:snapToGrid w:val="false"/>
        <w:spacing w:lineRule="auto" w:line="276" w:before="57" w:after="57"/>
        <w:ind w:hanging="0" w:left="0" w:right="0"/>
        <w:jc w:val="both"/>
        <w:rPr/>
      </w:pPr>
      <w:r>
        <w:rPr>
          <w:rFonts w:cs="Arial" w:ascii="Verdana" w:hAnsi="Verdana"/>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tabs>
          <w:tab w:val="clear" w:pos="720"/>
          <w:tab w:val="left" w:pos="617" w:leader="none"/>
          <w:tab w:val="left" w:pos="733" w:leader="none"/>
          <w:tab w:val="left" w:pos="1467" w:leader="none"/>
        </w:tabs>
        <w:snapToGrid w:val="false"/>
        <w:spacing w:lineRule="auto" w:line="276" w:before="57" w:after="57"/>
        <w:ind w:hanging="0" w:left="0" w:right="0"/>
        <w:jc w:val="both"/>
        <w:rPr/>
      </w:pPr>
      <w:r>
        <w:rPr>
          <w:rFonts w:cs="Arial" w:ascii="Verdana" w:hAnsi="Verdana"/>
          <w:bCs/>
          <w:iCs/>
          <w:color w:val="000000"/>
          <w:sz w:val="20"/>
          <w:szCs w:val="20"/>
        </w:rPr>
        <w:t>6.4. Na presente licitação, a Microempresa e a Empresa de Pequeno Porte poderão se beneficiar do regime de tributação pelo Simples Nacional;</w:t>
      </w:r>
    </w:p>
    <w:p>
      <w:pPr>
        <w:pStyle w:val="Normal"/>
        <w:tabs>
          <w:tab w:val="clear" w:pos="720"/>
          <w:tab w:val="left" w:pos="617" w:leader="none"/>
          <w:tab w:val="left" w:pos="733" w:leader="none"/>
          <w:tab w:val="left" w:pos="1467" w:leader="none"/>
        </w:tabs>
        <w:snapToGrid w:val="false"/>
        <w:spacing w:lineRule="auto" w:line="276" w:before="57" w:after="57"/>
        <w:ind w:hanging="0" w:left="0" w:right="0"/>
        <w:jc w:val="both"/>
        <w:rPr/>
      </w:pPr>
      <w:r>
        <w:rPr>
          <w:rFonts w:cs="Arial" w:ascii="Verdana" w:hAnsi="Verdana"/>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tabs>
          <w:tab w:val="clear" w:pos="720"/>
          <w:tab w:val="left" w:pos="617" w:leader="none"/>
          <w:tab w:val="left" w:pos="733" w:leader="none"/>
          <w:tab w:val="left" w:pos="1467" w:leader="none"/>
        </w:tabs>
        <w:snapToGrid w:val="false"/>
        <w:spacing w:lineRule="auto" w:line="276" w:before="57" w:after="57"/>
        <w:ind w:hanging="0" w:left="0" w:right="0"/>
        <w:jc w:val="both"/>
        <w:rPr/>
      </w:pPr>
      <w:r>
        <w:rPr>
          <w:rFonts w:cs="Arial" w:ascii="Verdana" w:hAnsi="Verdana"/>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tabs>
          <w:tab w:val="clear" w:pos="720"/>
          <w:tab w:val="left" w:pos="617" w:leader="none"/>
          <w:tab w:val="left" w:pos="733" w:leader="none"/>
          <w:tab w:val="left" w:pos="850" w:leader="none"/>
        </w:tabs>
        <w:snapToGrid w:val="false"/>
        <w:spacing w:lineRule="auto" w:line="276" w:before="57" w:after="57"/>
        <w:ind w:hanging="0" w:left="0" w:right="0"/>
        <w:jc w:val="both"/>
        <w:rPr/>
      </w:pPr>
      <w:r>
        <w:rPr>
          <w:rFonts w:cs="Arial" w:ascii="Verdana" w:hAnsi="Verdana"/>
          <w:bCs/>
          <w:iCs/>
          <w:color w:val="000000"/>
          <w:sz w:val="20"/>
          <w:szCs w:val="20"/>
        </w:rPr>
        <w:t>6.7. O prazo de validade da proposta não será inferior a 60 (sessenta) dias, a contar da data de sua apresentação;</w:t>
      </w:r>
    </w:p>
    <w:p>
      <w:pPr>
        <w:pStyle w:val="Normal"/>
        <w:tabs>
          <w:tab w:val="clear" w:pos="720"/>
          <w:tab w:val="left" w:pos="617" w:leader="none"/>
          <w:tab w:val="left" w:pos="733" w:leader="none"/>
          <w:tab w:val="left" w:pos="850" w:leader="none"/>
        </w:tabs>
        <w:snapToGrid w:val="false"/>
        <w:spacing w:lineRule="auto" w:line="276" w:before="57" w:after="57"/>
        <w:ind w:hanging="0" w:left="0" w:right="0"/>
        <w:jc w:val="both"/>
        <w:rPr/>
      </w:pPr>
      <w:r>
        <w:rPr>
          <w:rFonts w:cs="Arial" w:ascii="Verdana" w:hAnsi="Verdana"/>
          <w:bCs/>
          <w:iCs/>
          <w:color w:val="000000"/>
          <w:sz w:val="20"/>
          <w:szCs w:val="20"/>
        </w:rPr>
        <w:t>6.8.</w:t>
      </w:r>
      <w:r>
        <w:rPr>
          <w:rFonts w:cs="Arial" w:ascii="Verdana" w:hAnsi="Verdana"/>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vel2-Red"/>
        <w:numPr>
          <w:ilvl w:val="0"/>
          <w:numId w:val="0"/>
        </w:numPr>
        <w:spacing w:lineRule="auto" w:line="276" w:before="57" w:after="57"/>
        <w:ind w:hanging="0" w:left="0" w:right="0"/>
        <w:rPr>
          <w:rFonts w:ascii="Verdana" w:hAnsi="Verdana" w:eastAsia="Segoe UI" w:cs="Arial"/>
          <w:color w:val="000000"/>
          <w:sz w:val="20"/>
          <w:szCs w:val="20"/>
        </w:rPr>
      </w:pPr>
      <w:r>
        <w:rPr>
          <w:rFonts w:eastAsia="Segoe UI" w:cs="Arial" w:ascii="Verdana" w:hAnsi="Verdana"/>
          <w:color w:val="000000"/>
          <w:sz w:val="20"/>
          <w:szCs w:val="20"/>
        </w:rPr>
      </w:r>
    </w:p>
    <w:p>
      <w:pPr>
        <w:pStyle w:val="Nivel01"/>
        <w:numPr>
          <w:ilvl w:val="0"/>
          <w:numId w:val="2"/>
        </w:numPr>
        <w:spacing w:lineRule="auto" w:line="276" w:before="57" w:after="57"/>
        <w:ind w:hanging="0" w:left="0" w:right="0"/>
        <w:rPr/>
      </w:pPr>
      <w:r>
        <w:rPr>
          <w:rFonts w:cs="Arial" w:ascii="Verdana" w:hAnsi="Verdana"/>
          <w:color w:val="auto"/>
          <w:sz w:val="20"/>
          <w:szCs w:val="20"/>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76" w:before="57" w:after="57"/>
        <w:ind w:hanging="0" w:left="0" w:right="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76" w:before="57" w:after="57"/>
        <w:ind w:hanging="0" w:left="0" w:right="0"/>
        <w:rPr/>
      </w:pPr>
      <w:r>
        <w:rPr>
          <w:rFonts w:cs="Arial" w:ascii="Verdana" w:hAnsi="Verdana"/>
          <w:color w:val="000000"/>
          <w:sz w:val="20"/>
          <w:szCs w:val="2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276" w:before="57" w:after="57"/>
        <w:ind w:hanging="0" w:left="0" w:right="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276" w:before="57" w:after="57"/>
        <w:ind w:hanging="0" w:left="0" w:right="0"/>
        <w:jc w:val="both"/>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76" w:before="57" w:after="57"/>
        <w:ind w:hanging="0" w:left="0" w:right="0"/>
        <w:jc w:val="both"/>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76" w:before="57" w:after="57"/>
        <w:ind w:hanging="0" w:left="0" w:right="0"/>
        <w:jc w:val="both"/>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76" w:before="57" w:after="57"/>
        <w:ind w:hanging="0" w:left="0" w:right="0"/>
        <w:jc w:val="both"/>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20"/>
          <w:tab w:val="left" w:pos="683" w:leader="none"/>
        </w:tabs>
        <w:snapToGrid w:val="false"/>
        <w:spacing w:lineRule="auto" w:line="276" w:before="57" w:after="57"/>
        <w:ind w:hanging="0" w:left="0" w:right="0"/>
        <w:jc w:val="both"/>
        <w:rPr/>
      </w:pPr>
      <w:r>
        <w:rPr>
          <w:rFonts w:cs="Arial" w:ascii="Verdana" w:hAnsi="Verdana"/>
          <w:color w:val="000000"/>
          <w:sz w:val="20"/>
          <w:szCs w:val="20"/>
        </w:rPr>
        <w:t>7.4 O sistema disponibilizará campo próprio para troca de mensagens entre o Pregoeiro e os licitantes.</w:t>
      </w:r>
    </w:p>
    <w:p>
      <w:pPr>
        <w:pStyle w:val="Normal"/>
        <w:tabs>
          <w:tab w:val="clear" w:pos="720"/>
          <w:tab w:val="left" w:pos="683" w:leader="none"/>
        </w:tabs>
        <w:snapToGrid w:val="false"/>
        <w:spacing w:lineRule="auto" w:line="276" w:before="57" w:after="57"/>
        <w:ind w:hanging="0" w:left="0" w:right="0"/>
        <w:jc w:val="both"/>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76" w:before="57" w:after="57"/>
        <w:ind w:hanging="0" w:left="0" w:right="0"/>
        <w:jc w:val="both"/>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lineRule="auto" w:line="276" w:before="57" w:after="57"/>
        <w:ind w:hanging="0" w:left="0" w:right="0"/>
        <w:contextualSpacing w:val="false"/>
        <w:jc w:val="both"/>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57" w:after="57"/>
        <w:ind w:hanging="0" w:left="0" w:right="0"/>
        <w:contextualSpacing w:val="false"/>
        <w:jc w:val="both"/>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57" w:after="57"/>
        <w:ind w:hanging="0" w:left="0" w:right="0"/>
        <w:contextualSpacing w:val="false"/>
        <w:jc w:val="both"/>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76" w:before="57" w:after="57"/>
        <w:ind w:hanging="0" w:left="0" w:right="0"/>
        <w:contextualSpacing w:val="false"/>
        <w:jc w:val="both"/>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ListParagraph"/>
        <w:spacing w:lineRule="auto" w:line="276" w:before="57" w:after="57"/>
        <w:ind w:hanging="0" w:left="0" w:right="0"/>
        <w:contextualSpacing w:val="false"/>
        <w:jc w:val="both"/>
        <w:rPr/>
      </w:pPr>
      <w:r>
        <w:rPr>
          <w:rFonts w:cs="Arial" w:ascii="Verdana" w:hAnsi="Verdana"/>
          <w:color w:val="000000"/>
          <w:sz w:val="20"/>
          <w:szCs w:val="20"/>
        </w:rPr>
        <w:t>7.10 A etapa de lances da sess</w:t>
      </w:r>
      <w:r>
        <w:rPr>
          <w:rFonts w:ascii="Verdana" w:hAnsi="Verdana"/>
          <w:sz w:val="20"/>
          <w:szCs w:val="20"/>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ListParagraph"/>
        <w:spacing w:lineRule="auto" w:line="276" w:before="57" w:after="57"/>
        <w:ind w:hanging="0" w:left="0" w:right="0"/>
        <w:contextualSpacing w:val="false"/>
        <w:jc w:val="both"/>
        <w:rPr/>
      </w:pPr>
      <w:r>
        <w:rPr>
          <w:rFonts w:cs="Arial" w:ascii="Verdana" w:hAnsi="Verdana"/>
          <w:color w:val="000000"/>
          <w:sz w:val="20"/>
          <w:szCs w:val="20"/>
        </w:rPr>
        <w:t>7.11. Encerrado o prazo previsto no item anterior, o sistema abrir</w:t>
      </w:r>
      <w:r>
        <w:rPr>
          <w:rFonts w:ascii="Verdana" w:hAnsi="Verdana"/>
          <w:sz w:val="20"/>
          <w:szCs w:val="20"/>
        </w:rPr>
        <w:t>á oportunidade para que o autor da oferta de valor mais baixo e os das ofertas com preços até dez por cento superior àquela possam ofertar um lance final e fechado em até cinco minutos, o qual será sigiloso até o encerramento deste prazo.</w:t>
      </w:r>
    </w:p>
    <w:p>
      <w:pPr>
        <w:pStyle w:val="Normal"/>
        <w:spacing w:lineRule="auto" w:line="276" w:before="57" w:after="57"/>
        <w:ind w:hanging="0" w:left="0" w:right="0"/>
        <w:jc w:val="both"/>
        <w:rPr/>
      </w:pPr>
      <w:r>
        <w:rPr>
          <w:rFonts w:ascii="Verdana" w:hAnsi="Verdana"/>
          <w:sz w:val="20"/>
          <w:szCs w:val="20"/>
        </w:rPr>
        <w:t>7.11.1.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spacing w:lineRule="auto" w:line="276" w:before="57" w:after="57"/>
        <w:ind w:hanging="0" w:left="0" w:right="0"/>
        <w:jc w:val="both"/>
        <w:rPr/>
      </w:pPr>
      <w:r>
        <w:rPr>
          <w:rFonts w:ascii="Verdana" w:hAnsi="Verdana"/>
          <w:sz w:val="20"/>
          <w:szCs w:val="20"/>
        </w:rPr>
        <w:t>7.12. Após o término dos prazos estabelecidos nos itens anteriores, o sistema ordenará os lances segundo a ordem crescente de valores.</w:t>
      </w:r>
    </w:p>
    <w:p>
      <w:pPr>
        <w:pStyle w:val="Normal"/>
        <w:spacing w:lineRule="auto" w:line="276" w:before="57" w:after="57"/>
        <w:ind w:hanging="0" w:left="0" w:right="0"/>
        <w:jc w:val="both"/>
        <w:rPr/>
      </w:pPr>
      <w:r>
        <w:rPr>
          <w:rFonts w:ascii="Verdana" w:hAnsi="Verdana"/>
          <w:sz w:val="20"/>
          <w:szCs w:val="20"/>
        </w:rPr>
        <w:t>7.12.1. Não havendo lance final e fechado classificado na forma estabelecida no lote, haverá o reinício da etapa fechada, para que os demais licitantes, até o máximo de três, na ordem de classificação, possam ofertar um lance final e fechado em até cinco minutos, o qual será sigiloso até o encerramento deste prazo.</w:t>
      </w:r>
    </w:p>
    <w:p>
      <w:pPr>
        <w:pStyle w:val="Normal"/>
        <w:spacing w:lineRule="auto" w:line="276" w:before="57" w:after="57"/>
        <w:ind w:hanging="0" w:left="0" w:right="0"/>
        <w:jc w:val="both"/>
        <w:rPr/>
      </w:pPr>
      <w:r>
        <w:rPr>
          <w:rFonts w:ascii="Verdana" w:hAnsi="Verdana"/>
          <w:sz w:val="20"/>
          <w:szCs w:val="20"/>
        </w:rPr>
        <w:t>7.13. Poderá o(a) Pregoeiro(a), auxiliado pela Equipe de Apoio, justificadamente, admitir o reinício da etapa fechada, caso nenhum licitante classificado na etapa de lance fechado atender às exigências de habilitação.</w:t>
      </w:r>
    </w:p>
    <w:p>
      <w:pPr>
        <w:pStyle w:val="Normal"/>
        <w:spacing w:lineRule="auto" w:line="276" w:before="57" w:after="57"/>
        <w:ind w:hanging="0" w:left="0" w:right="0"/>
        <w:jc w:val="both"/>
        <w:rPr/>
      </w:pPr>
      <w:r>
        <w:rPr>
          <w:rFonts w:cs="Arial" w:ascii="Verdana" w:hAnsi="Verdana"/>
          <w:color w:val="000000"/>
          <w:sz w:val="20"/>
          <w:szCs w:val="20"/>
        </w:rPr>
        <w:t>7.14 Não serão aceitos dois ou mais lances de mesmo valor, prevalecendo aquele que for recebido e registrado em primeiro lugar.</w:t>
      </w:r>
    </w:p>
    <w:p>
      <w:pPr>
        <w:pStyle w:val="Normal"/>
        <w:spacing w:lineRule="auto" w:line="276" w:before="57" w:after="57"/>
        <w:ind w:hanging="0" w:left="0" w:right="0"/>
        <w:jc w:val="both"/>
        <w:rPr/>
      </w:pPr>
      <w:r>
        <w:rPr>
          <w:rFonts w:cs="Arial" w:ascii="Verdana" w:hAnsi="Verdana"/>
          <w:color w:val="000000"/>
          <w:sz w:val="20"/>
          <w:szCs w:val="20"/>
        </w:rPr>
        <w:t xml:space="preserve">7.15 Durante o transcurso da sessão pública, os licitantes serão informados, em tempo real, do valor do menor lance registrado, vedada a identificação do licitante. </w:t>
      </w:r>
    </w:p>
    <w:p>
      <w:pPr>
        <w:pStyle w:val="Normal"/>
        <w:spacing w:lineRule="auto" w:line="276" w:before="57" w:after="57"/>
        <w:ind w:hanging="0" w:left="0" w:right="0"/>
        <w:jc w:val="both"/>
        <w:rPr/>
      </w:pPr>
      <w:r>
        <w:rPr>
          <w:rFonts w:cs="Arial" w:ascii="Verdana" w:hAnsi="Verdana"/>
          <w:color w:val="000000"/>
          <w:sz w:val="20"/>
          <w:szCs w:val="20"/>
        </w:rPr>
        <w:t xml:space="preserve">7.16 No caso de desconexão com o Pregoeiro, no decorrer da etapa competitiva do Pregão, o sistema eletrônico poderá permanecer acessível aos licitantes para a recepção dos lances. </w:t>
      </w:r>
    </w:p>
    <w:p>
      <w:pPr>
        <w:pStyle w:val="Normal"/>
        <w:spacing w:lineRule="auto" w:line="276" w:before="57" w:after="57"/>
        <w:ind w:hanging="0" w:left="0" w:right="0"/>
        <w:jc w:val="both"/>
        <w:rPr/>
      </w:pPr>
      <w:r>
        <w:rPr>
          <w:rFonts w:cs="Arial" w:ascii="Verdana" w:hAnsi="Verdana"/>
          <w:color w:val="000000"/>
          <w:sz w:val="20"/>
          <w:szCs w:val="20"/>
        </w:rPr>
        <w:t xml:space="preserve">7.17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pPr>
        <w:pStyle w:val="Normal"/>
        <w:spacing w:lineRule="auto" w:line="276" w:before="57" w:after="57"/>
        <w:ind w:hanging="0" w:left="0" w:right="0"/>
        <w:jc w:val="both"/>
        <w:rPr/>
      </w:pPr>
      <w:r>
        <w:rPr>
          <w:rFonts w:cs="Arial" w:ascii="Verdana" w:hAnsi="Verdana"/>
          <w:color w:val="000000"/>
          <w:sz w:val="20"/>
          <w:szCs w:val="20"/>
        </w:rPr>
        <w:t>7.18 O Critério de julgamento adotado será o menor preço, conforme definido neste Edital e seus anexos.</w:t>
      </w:r>
    </w:p>
    <w:p>
      <w:pPr>
        <w:pStyle w:val="Normal"/>
        <w:spacing w:lineRule="auto" w:line="276" w:before="57" w:after="57"/>
        <w:ind w:hanging="0" w:left="0" w:right="0"/>
        <w:jc w:val="both"/>
        <w:rPr/>
      </w:pPr>
      <w:r>
        <w:rPr>
          <w:rFonts w:cs="Arial" w:ascii="Verdana" w:hAnsi="Verdana"/>
          <w:color w:val="000000"/>
          <w:sz w:val="20"/>
          <w:szCs w:val="20"/>
        </w:rPr>
        <w:t>7.19 Caso o licitante não apresente lances, concorrerá com o valor de sua proposta.</w:t>
      </w:r>
    </w:p>
    <w:p>
      <w:pPr>
        <w:pStyle w:val="Normal"/>
        <w:spacing w:lineRule="auto" w:line="276" w:before="57" w:after="57"/>
        <w:ind w:hanging="0" w:left="0" w:right="0"/>
        <w:jc w:val="both"/>
        <w:rPr/>
      </w:pPr>
      <w:r>
        <w:rPr>
          <w:rFonts w:cs="Arial" w:ascii="Verdana" w:hAnsi="Verdana"/>
          <w:color w:val="000000"/>
          <w:sz w:val="20"/>
          <w:szCs w:val="20"/>
        </w:rPr>
        <w:t>7.20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57"/>
        <w:ind w:hanging="0" w:left="0" w:right="0"/>
        <w:jc w:val="both"/>
        <w:rPr/>
      </w:pPr>
      <w:r>
        <w:rPr>
          <w:rFonts w:cs="Arial" w:ascii="Verdana" w:hAnsi="Verdana"/>
          <w:color w:val="000000"/>
          <w:sz w:val="20"/>
          <w:szCs w:val="20"/>
        </w:rPr>
        <w:t>7.21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57"/>
        <w:ind w:hanging="0" w:left="0" w:right="0"/>
        <w:jc w:val="both"/>
        <w:rPr/>
      </w:pPr>
      <w:r>
        <w:rPr>
          <w:rFonts w:cs="Arial" w:ascii="Verdana" w:hAnsi="Verdana"/>
          <w:color w:val="000000"/>
          <w:sz w:val="20"/>
          <w:szCs w:val="20"/>
        </w:rPr>
        <w:t>7.22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57"/>
        <w:ind w:hanging="0" w:left="0" w:right="0"/>
        <w:jc w:val="both"/>
        <w:rPr/>
      </w:pPr>
      <w:r>
        <w:rPr>
          <w:rFonts w:cs="Arial" w:ascii="Verdana" w:hAnsi="Verdana"/>
          <w:color w:val="000000"/>
          <w:sz w:val="20"/>
          <w:szCs w:val="20"/>
        </w:rPr>
        <w:t>7.23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57"/>
        <w:ind w:hanging="0" w:left="0" w:right="0"/>
        <w:jc w:val="both"/>
        <w:rPr/>
      </w:pPr>
      <w:r>
        <w:rPr>
          <w:rFonts w:cs="Arial" w:ascii="Verdana" w:hAnsi="Verdana"/>
          <w:color w:val="000000"/>
          <w:sz w:val="20"/>
          <w:szCs w:val="20"/>
        </w:rPr>
        <w:t>7.24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57"/>
        <w:ind w:hanging="0" w:left="0" w:right="0"/>
        <w:jc w:val="both"/>
        <w:rPr/>
      </w:pPr>
      <w:r>
        <w:rPr>
          <w:rFonts w:cs="Arial" w:ascii="Verdana" w:hAnsi="Verdana"/>
          <w:color w:val="000000"/>
          <w:sz w:val="20"/>
          <w:szCs w:val="20"/>
        </w:rPr>
        <w:t xml:space="preserve">7.25 Só poderá haver empate entre propostas iguais (não seguidas de lances), ou entre lances finais da fase fechada do modo de disputa aberto e fechado. </w:t>
      </w:r>
    </w:p>
    <w:p>
      <w:pPr>
        <w:pStyle w:val="Normal"/>
        <w:spacing w:lineRule="auto" w:line="276" w:before="57" w:after="57"/>
        <w:ind w:hanging="0" w:left="0" w:right="0"/>
        <w:jc w:val="both"/>
        <w:rPr/>
      </w:pPr>
      <w:r>
        <w:rPr>
          <w:rFonts w:cs="Arial" w:ascii="Verdana" w:hAnsi="Verdana"/>
          <w:color w:val="000000"/>
          <w:sz w:val="20"/>
          <w:szCs w:val="20"/>
        </w:rPr>
        <w:t>7.26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ind w:hanging="0" w:left="0" w:right="0"/>
        <w:jc w:val="both"/>
        <w:rPr/>
      </w:pPr>
      <w:r>
        <w:rPr>
          <w:rFonts w:cs="Arial" w:ascii="Verdana" w:hAnsi="Verdana"/>
          <w:color w:val="000000"/>
          <w:sz w:val="20"/>
          <w:szCs w:val="20"/>
        </w:rPr>
        <w:t>7.26.1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ind w:hanging="0" w:left="0" w:right="0"/>
        <w:jc w:val="both"/>
        <w:rPr/>
      </w:pPr>
      <w:r>
        <w:rPr>
          <w:rFonts w:cs="Arial" w:ascii="Verdana" w:hAnsi="Verdana"/>
          <w:color w:val="000000"/>
          <w:sz w:val="20"/>
          <w:szCs w:val="20"/>
          <w:lang w:eastAsia="en-US"/>
        </w:rPr>
        <w:t>7.26.2 No país;</w:t>
      </w:r>
    </w:p>
    <w:p>
      <w:pPr>
        <w:pStyle w:val="Normal"/>
        <w:spacing w:lineRule="auto" w:line="276" w:before="57" w:after="57"/>
        <w:ind w:hanging="0" w:left="0" w:right="0"/>
        <w:jc w:val="both"/>
        <w:rPr/>
      </w:pPr>
      <w:r>
        <w:rPr>
          <w:rFonts w:cs="Arial" w:ascii="Verdana" w:hAnsi="Verdana"/>
          <w:color w:val="000000"/>
          <w:sz w:val="20"/>
          <w:szCs w:val="20"/>
          <w:lang w:eastAsia="en-US"/>
        </w:rPr>
        <w:t>7.26.3 Por empresas brasileiras;</w:t>
      </w:r>
    </w:p>
    <w:p>
      <w:pPr>
        <w:pStyle w:val="Normal"/>
        <w:spacing w:lineRule="auto" w:line="276" w:before="57" w:after="57"/>
        <w:ind w:hanging="0" w:left="0" w:right="0"/>
        <w:jc w:val="both"/>
        <w:rPr/>
      </w:pPr>
      <w:r>
        <w:rPr>
          <w:rFonts w:cs="Arial" w:ascii="Verdana" w:hAnsi="Verdana"/>
          <w:color w:val="000000"/>
          <w:sz w:val="20"/>
          <w:szCs w:val="20"/>
          <w:lang w:eastAsia="en-US"/>
        </w:rPr>
        <w:t>7.26.4 Por empresas que invistam em pesquisa e no desenvolvimento de tecnologia no País;</w:t>
      </w:r>
    </w:p>
    <w:p>
      <w:pPr>
        <w:pStyle w:val="Normal"/>
        <w:spacing w:lineRule="auto" w:line="276" w:before="57" w:after="57"/>
        <w:ind w:hanging="0" w:left="0" w:right="0"/>
        <w:jc w:val="both"/>
        <w:rPr/>
      </w:pPr>
      <w:r>
        <w:rPr>
          <w:rFonts w:cs="Arial" w:ascii="Verdana" w:hAnsi="Verdana"/>
          <w:color w:val="000000"/>
          <w:sz w:val="20"/>
          <w:szCs w:val="20"/>
          <w:lang w:eastAsia="en-US"/>
        </w:rPr>
        <w:t>7.26.5 Por empresas que comprovem cumprimento de reserva de cargos prevista em lei para pessoa com deficiência ou para reabilitado da Previdência Social e que atendam às regras de acessibilidade previstas na legislação.</w:t>
      </w:r>
    </w:p>
    <w:p>
      <w:pPr>
        <w:pStyle w:val="Normal"/>
        <w:spacing w:lineRule="auto" w:line="276" w:before="57" w:after="57"/>
        <w:ind w:hanging="0" w:left="0" w:right="0"/>
        <w:jc w:val="both"/>
        <w:rPr/>
      </w:pPr>
      <w:r>
        <w:rPr>
          <w:rFonts w:cs="Arial" w:ascii="Verdana" w:hAnsi="Verdana"/>
          <w:color w:val="000000"/>
          <w:sz w:val="20"/>
          <w:szCs w:val="20"/>
          <w:lang w:eastAsia="en-US"/>
        </w:rPr>
        <w:t xml:space="preserve">7.27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57"/>
        <w:ind w:hanging="0" w:left="0" w:right="0"/>
        <w:jc w:val="both"/>
        <w:rPr/>
      </w:pPr>
      <w:r>
        <w:rPr>
          <w:rFonts w:cs="Arial" w:ascii="Verdana" w:hAnsi="Verdana"/>
          <w:color w:val="000000"/>
          <w:sz w:val="20"/>
          <w:szCs w:val="20"/>
        </w:rPr>
        <w:t>7.28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57"/>
        <w:ind w:hanging="0" w:left="0" w:right="0"/>
        <w:contextualSpacing w:val="false"/>
        <w:jc w:val="both"/>
        <w:rPr/>
      </w:pPr>
      <w:r>
        <w:rPr>
          <w:rFonts w:cs="Arial" w:ascii="Verdana" w:hAnsi="Verdana"/>
          <w:color w:val="000000"/>
          <w:sz w:val="20"/>
          <w:szCs w:val="20"/>
          <w:lang w:eastAsia="en-US"/>
        </w:rPr>
        <w:t>7.28.1 A negociação será realizada por meio do sistema, podendo ser acompanhada pelos demais licitantes.</w:t>
      </w:r>
    </w:p>
    <w:p>
      <w:pPr>
        <w:pStyle w:val="ListParagraph"/>
        <w:tabs>
          <w:tab w:val="clear" w:pos="720"/>
          <w:tab w:val="left" w:pos="-12" w:leader="none"/>
        </w:tabs>
        <w:spacing w:lineRule="auto" w:line="276" w:before="57" w:after="57"/>
        <w:ind w:hanging="0" w:left="0" w:right="0"/>
        <w:contextualSpacing w:val="false"/>
        <w:jc w:val="both"/>
        <w:rPr/>
      </w:pPr>
      <w:r>
        <w:rPr>
          <w:rFonts w:cs="Arial" w:ascii="Verdana" w:hAnsi="Verdana"/>
          <w:color w:val="000000"/>
          <w:sz w:val="20"/>
          <w:szCs w:val="20"/>
        </w:rPr>
        <w:t>7.28.2 O pregoeiro solicitará ao licitante melhor classificado que, no prazo de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20"/>
          <w:tab w:val="left" w:pos="-12" w:leader="none"/>
        </w:tabs>
        <w:spacing w:lineRule="auto" w:line="276" w:before="57" w:after="57"/>
        <w:ind w:hanging="0" w:left="0" w:right="0"/>
        <w:contextualSpacing w:val="false"/>
        <w:jc w:val="both"/>
        <w:rPr/>
      </w:pPr>
      <w:r>
        <w:rPr>
          <w:rFonts w:cs="Arial" w:ascii="Verdana" w:hAnsi="Verdana"/>
          <w:color w:val="000000"/>
          <w:sz w:val="20"/>
          <w:szCs w:val="20"/>
        </w:rPr>
        <w:t>7.29 Após a negociação do preço, o Pregoeiro iniciará a fase de aceitação e julgamento da proposta.</w:t>
      </w:r>
    </w:p>
    <w:p>
      <w:pPr>
        <w:pStyle w:val="ListParagraph"/>
        <w:tabs>
          <w:tab w:val="clear" w:pos="720"/>
          <w:tab w:val="left" w:pos="-12" w:leader="none"/>
        </w:tabs>
        <w:spacing w:lineRule="auto" w:line="276" w:before="57" w:after="57"/>
        <w:ind w:hanging="0" w:left="0" w:right="0"/>
        <w:contextualSpacing w:val="false"/>
        <w:jc w:val="both"/>
        <w:rPr/>
      </w:pPr>
      <w:r>
        <w:rPr>
          <w:rFonts w:cs="Arial" w:ascii="Verdana" w:hAnsi="Verdana"/>
          <w:color w:val="000000"/>
          <w:sz w:val="20"/>
          <w:szCs w:val="20"/>
        </w:rPr>
        <w:t xml:space="preserve">7.30 </w:t>
      </w:r>
      <w:r>
        <w:rPr>
          <w:rFonts w:ascii="Verdana" w:hAnsi="Verdana"/>
          <w:b/>
          <w:i/>
          <w:iCs/>
          <w:sz w:val="20"/>
          <w:szCs w:val="20"/>
          <w:highlight w:val="yellow"/>
          <w:u w:val="single"/>
        </w:rPr>
        <w:t>Em caso de haver divergência entre o item selecionado no catálogo do Compras.gov.br e as especificações contidas no Termo de Referência prevalecem as especificações do Termo de Referência, inclusive para fins de desclassificação.</w:t>
      </w:r>
    </w:p>
    <w:p>
      <w:pPr>
        <w:pStyle w:val="Normal"/>
        <w:spacing w:lineRule="auto" w:line="276" w:before="57" w:after="57"/>
        <w:ind w:hanging="0" w:left="0" w:right="0"/>
        <w:rPr>
          <w:rFonts w:ascii="Verdana" w:hAnsi="Verdana"/>
          <w:sz w:val="20"/>
          <w:szCs w:val="20"/>
        </w:rPr>
      </w:pPr>
      <w:r>
        <w:rPr>
          <w:rFonts w:ascii="Verdana" w:hAnsi="Verdana"/>
          <w:sz w:val="20"/>
          <w:szCs w:val="20"/>
        </w:rPr>
      </w:r>
    </w:p>
    <w:p>
      <w:pPr>
        <w:pStyle w:val="Nivel01"/>
        <w:numPr>
          <w:ilvl w:val="0"/>
          <w:numId w:val="2"/>
        </w:numPr>
        <w:tabs>
          <w:tab w:val="clear" w:pos="567"/>
          <w:tab w:val="left" w:pos="517" w:leader="none"/>
        </w:tabs>
        <w:spacing w:lineRule="auto" w:line="276" w:before="57" w:after="57"/>
        <w:ind w:hanging="0" w:left="0" w:right="0"/>
        <w:rPr/>
      </w:pPr>
      <w:r>
        <w:rPr>
          <w:rFonts w:cs="Arial" w:ascii="Verdana" w:hAnsi="Verdana"/>
          <w:sz w:val="20"/>
          <w:szCs w:val="20"/>
          <w:lang w:eastAsia="en-US"/>
        </w:rPr>
        <w:t>DA ACEITABILIDADE DA PROPOSTA VENCEDORA.</w:t>
      </w:r>
    </w:p>
    <w:p>
      <w:pPr>
        <w:pStyle w:val="ListParagraph"/>
        <w:numPr>
          <w:ilvl w:val="1"/>
          <w:numId w:val="2"/>
        </w:numPr>
        <w:tabs>
          <w:tab w:val="clear" w:pos="720"/>
          <w:tab w:val="left" w:pos="517" w:leader="none"/>
        </w:tabs>
        <w:spacing w:lineRule="auto" w:line="276" w:before="57" w:after="57"/>
        <w:ind w:hanging="0" w:left="0" w:right="0"/>
        <w:contextualSpacing w:val="false"/>
        <w:jc w:val="both"/>
        <w:rPr/>
      </w:pPr>
      <w:r>
        <w:rPr>
          <w:rFonts w:cs="Arial" w:ascii="Verdana" w:hAnsi="Verdana"/>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numPr>
          <w:ilvl w:val="1"/>
          <w:numId w:val="2"/>
        </w:numPr>
        <w:tabs>
          <w:tab w:val="clear" w:pos="720"/>
          <w:tab w:val="left" w:pos="517" w:leader="none"/>
        </w:tabs>
        <w:spacing w:lineRule="auto" w:line="276" w:before="57" w:after="57"/>
        <w:ind w:hanging="0" w:left="0" w:right="0"/>
        <w:jc w:val="both"/>
        <w:rPr/>
      </w:pPr>
      <w:r>
        <w:rPr>
          <w:rFonts w:cs="Arial" w:ascii="Verdana" w:hAnsi="Verdana"/>
          <w:color w:val="000000"/>
          <w:sz w:val="20"/>
          <w:szCs w:val="20"/>
        </w:rPr>
        <w:t>Será desclassificada a proposta ou o lance vencedor, apresentar preço final superior ao preço máximo fixado (Acórdão no 1455/2018 – TCU – Plenário), ou que apresentar preço manifestamente inexequível.</w:t>
      </w:r>
    </w:p>
    <w:p>
      <w:pPr>
        <w:pStyle w:val="Normal"/>
        <w:numPr>
          <w:ilvl w:val="1"/>
          <w:numId w:val="2"/>
        </w:numPr>
        <w:tabs>
          <w:tab w:val="clear" w:pos="720"/>
          <w:tab w:val="left" w:pos="517" w:leader="none"/>
        </w:tabs>
        <w:spacing w:lineRule="auto" w:line="276" w:before="57" w:after="57"/>
        <w:ind w:hanging="0" w:left="0" w:right="0"/>
        <w:jc w:val="both"/>
        <w:rPr/>
      </w:pPr>
      <w:r>
        <w:rPr>
          <w:rFonts w:cs="Arial" w:ascii="Verdana" w:hAnsi="Verdana"/>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pPr>
        <w:pStyle w:val="ListParagraph"/>
        <w:numPr>
          <w:ilvl w:val="1"/>
          <w:numId w:val="2"/>
        </w:numPr>
        <w:tabs>
          <w:tab w:val="clear" w:pos="720"/>
          <w:tab w:val="left" w:pos="517" w:leader="none"/>
        </w:tabs>
        <w:spacing w:lineRule="auto" w:line="276" w:before="57" w:after="57"/>
        <w:ind w:hanging="0" w:left="0" w:right="0"/>
        <w:contextualSpacing w:val="false"/>
        <w:jc w:val="both"/>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lineRule="auto" w:line="276" w:before="57" w:after="57"/>
        <w:ind w:hanging="0" w:left="0" w:righ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91"/>
          <w:sz w:val="20"/>
          <w:u w:val="single"/>
          <w:szCs w:val="20"/>
          <w:rFonts w:cs="Arial" w:ascii="Verdana" w:hAnsi="Verdana"/>
          <w:color w:val="000080"/>
        </w:rPr>
        <w:fldChar w:fldCharType="separate"/>
      </w:r>
      <w:r>
        <w:rPr>
          <w:rStyle w:val="ListLabel191"/>
          <w:rFonts w:cs="Arial" w:ascii="Verdana" w:hAnsi="Verdana"/>
          <w:color w:val="000080"/>
          <w:sz w:val="20"/>
          <w:szCs w:val="20"/>
          <w:u w:val="single"/>
        </w:rPr>
        <w:t>artigo 29 a 35 da IN SEGES nº 73, de 30 de setembro de 2022</w:t>
      </w:r>
      <w:r>
        <w:rPr>
          <w:rStyle w:val="ListLabel1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276" w:before="57" w:after="57"/>
        <w:ind w:hanging="0" w:left="0" w:right="0"/>
        <w:jc w:val="both"/>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276" w:before="57" w:after="57"/>
        <w:ind w:hanging="0" w:left="0" w:right="0"/>
        <w:jc w:val="both"/>
        <w:rPr/>
      </w:pPr>
      <w:r>
        <w:rPr>
          <w:rFonts w:ascii="Verdana" w:hAnsi="Verdana"/>
          <w:sz w:val="20"/>
          <w:szCs w:val="20"/>
        </w:rPr>
        <w:t xml:space="preserve">8.4.1 não estiver em conformidade com os requisitos estabelecidos neste edital; </w:t>
      </w:r>
    </w:p>
    <w:p>
      <w:pPr>
        <w:pStyle w:val="Normal"/>
        <w:tabs>
          <w:tab w:val="clear" w:pos="720"/>
          <w:tab w:val="left" w:pos="517" w:leader="none"/>
        </w:tabs>
        <w:spacing w:lineRule="auto" w:line="276" w:before="57" w:after="57"/>
        <w:ind w:hanging="0" w:left="0" w:right="0"/>
        <w:jc w:val="both"/>
        <w:rPr/>
      </w:pPr>
      <w:r>
        <w:rPr>
          <w:rFonts w:ascii="Verdana" w:hAnsi="Verdana"/>
          <w:sz w:val="20"/>
          <w:szCs w:val="20"/>
        </w:rPr>
        <w:t>8.4.2 contenha vício insanável ou ilegalidade;</w:t>
      </w:r>
    </w:p>
    <w:p>
      <w:pPr>
        <w:pStyle w:val="Normal"/>
        <w:tabs>
          <w:tab w:val="clear" w:pos="720"/>
          <w:tab w:val="left" w:pos="517" w:leader="none"/>
        </w:tabs>
        <w:spacing w:lineRule="auto" w:line="276" w:before="57" w:after="57"/>
        <w:ind w:hanging="0" w:left="0" w:right="0"/>
        <w:jc w:val="both"/>
        <w:rPr/>
      </w:pPr>
      <w:r>
        <w:rPr>
          <w:rFonts w:ascii="Verdana" w:hAnsi="Verdana"/>
          <w:sz w:val="20"/>
          <w:szCs w:val="20"/>
        </w:rPr>
        <w:t>8.4.3 não apresente as especificações técnicas exigidas pelo Termo de Referência;</w:t>
      </w:r>
    </w:p>
    <w:p>
      <w:pPr>
        <w:pStyle w:val="Normal"/>
        <w:tabs>
          <w:tab w:val="clear" w:pos="720"/>
          <w:tab w:val="left" w:pos="517" w:leader="none"/>
        </w:tabs>
        <w:spacing w:lineRule="auto" w:line="276" w:before="57" w:after="57"/>
        <w:ind w:hanging="0" w:left="0" w:right="0"/>
        <w:jc w:val="both"/>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76" w:before="57" w:after="57"/>
        <w:ind w:hanging="0" w:left="0" w:right="0"/>
        <w:jc w:val="both"/>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76" w:before="57" w:after="57"/>
        <w:ind w:hanging="0" w:left="0" w:right="0"/>
        <w:jc w:val="both"/>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76" w:before="57" w:after="57"/>
        <w:ind w:hanging="0" w:left="0" w:right="0"/>
        <w:jc w:val="both"/>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76" w:before="57" w:after="57"/>
        <w:ind w:hanging="0" w:left="0" w:right="0"/>
        <w:jc w:val="both"/>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lineRule="auto" w:line="276" w:before="57" w:after="57"/>
        <w:ind w:hanging="0" w:left="0" w:right="0"/>
        <w:jc w:val="both"/>
        <w:rPr/>
      </w:pPr>
      <w:r>
        <w:rPr>
          <w:rFonts w:ascii="Verdana" w:hAnsi="Verdana"/>
          <w:sz w:val="20"/>
          <w:szCs w:val="20"/>
        </w:rPr>
        <w:t>8.5 É vedado à proponente incluir na Planilha de Custos e Formação de Preços:</w:t>
      </w:r>
    </w:p>
    <w:p>
      <w:pPr>
        <w:pStyle w:val="Normal"/>
        <w:tabs>
          <w:tab w:val="clear" w:pos="720"/>
          <w:tab w:val="left" w:pos="517" w:leader="none"/>
        </w:tabs>
        <w:spacing w:lineRule="auto" w:line="276" w:before="57" w:after="57"/>
        <w:ind w:hanging="0" w:left="0" w:right="0"/>
        <w:jc w:val="both"/>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76" w:before="57" w:after="57"/>
        <w:ind w:hanging="0" w:left="0" w:right="0"/>
        <w:jc w:val="both"/>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76" w:before="57" w:after="57"/>
        <w:ind w:hanging="0" w:left="0" w:right="0"/>
        <w:jc w:val="both"/>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76" w:before="57" w:after="57"/>
        <w:ind w:hanging="0" w:left="0" w:right="0"/>
        <w:jc w:val="both"/>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76" w:before="57" w:after="57"/>
        <w:ind w:hanging="0" w:left="0" w:right="0"/>
        <w:jc w:val="both"/>
        <w:rPr/>
      </w:pPr>
      <w:r>
        <w:rPr>
          <w:rFonts w:ascii="Verdana" w:hAnsi="Verdana"/>
          <w:sz w:val="20"/>
          <w:szCs w:val="20"/>
        </w:rPr>
        <w:t xml:space="preserve">8.5.5 rubrica para pagamento do Imposto de Renda Pessoa Jurídica – IRPJ e da Contribuição Social Sobre o Lucro Líquido – CSLL; </w:t>
      </w:r>
    </w:p>
    <w:p>
      <w:pPr>
        <w:pStyle w:val="Normal"/>
        <w:tabs>
          <w:tab w:val="clear" w:pos="720"/>
          <w:tab w:val="left" w:pos="517" w:leader="none"/>
        </w:tabs>
        <w:spacing w:lineRule="auto" w:line="276" w:before="57" w:after="57"/>
        <w:ind w:hanging="0" w:left="0" w:right="0"/>
        <w:jc w:val="both"/>
        <w:rPr/>
      </w:pPr>
      <w:r>
        <w:rPr>
          <w:rFonts w:ascii="Verdana" w:hAnsi="Verdana"/>
          <w:sz w:val="20"/>
          <w:szCs w:val="20"/>
        </w:rPr>
        <w:t>8.5.6 rubrica denominada “verba” ou “verba provisional”, pois o item não está vinculado a qualquer contraprestação mensurável.</w:t>
      </w:r>
    </w:p>
    <w:p>
      <w:pPr>
        <w:pStyle w:val="Normal"/>
        <w:numPr>
          <w:ilvl w:val="1"/>
          <w:numId w:val="2"/>
        </w:numPr>
        <w:tabs>
          <w:tab w:val="clear" w:pos="720"/>
          <w:tab w:val="left" w:pos="517" w:leader="none"/>
        </w:tabs>
        <w:spacing w:lineRule="auto" w:line="276" w:before="57" w:after="57"/>
        <w:ind w:hanging="0" w:left="0" w:right="0"/>
        <w:jc w:val="both"/>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76" w:before="57" w:after="57"/>
        <w:ind w:hanging="0" w:left="0" w:right="0"/>
        <w:jc w:val="both"/>
        <w:rPr/>
      </w:pPr>
      <w:r>
        <w:rPr>
          <w:rFonts w:ascii="Verdana" w:hAnsi="Verdana"/>
          <w:sz w:val="20"/>
          <w:szCs w:val="20"/>
        </w:rPr>
        <w:t>8.6.1 Na hipótese de contratação com a previsão de itens de custos vedados, tais valores serão glosados e os itens serão excluídos da Planilha, garantidas ampla defesa e contraditório.</w:t>
      </w:r>
    </w:p>
    <w:p>
      <w:pPr>
        <w:pStyle w:val="Normal"/>
        <w:numPr>
          <w:ilvl w:val="1"/>
          <w:numId w:val="2"/>
        </w:numPr>
        <w:tabs>
          <w:tab w:val="clear" w:pos="720"/>
          <w:tab w:val="left" w:pos="517" w:leader="none"/>
        </w:tabs>
        <w:spacing w:lineRule="auto" w:line="276" w:before="57" w:after="57"/>
        <w:ind w:hanging="0" w:left="0" w:right="0"/>
        <w:jc w:val="both"/>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2"/>
        </w:numPr>
        <w:tabs>
          <w:tab w:val="clear" w:pos="720"/>
          <w:tab w:val="left" w:pos="517" w:leader="none"/>
        </w:tabs>
        <w:spacing w:lineRule="auto" w:line="276" w:before="57" w:after="57"/>
        <w:ind w:hanging="0" w:left="0" w:right="0"/>
        <w:jc w:val="both"/>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2"/>
        </w:numPr>
        <w:tabs>
          <w:tab w:val="clear" w:pos="720"/>
          <w:tab w:val="left" w:pos="517" w:leader="none"/>
        </w:tabs>
        <w:spacing w:lineRule="auto" w:line="276" w:before="57" w:after="57"/>
        <w:ind w:hanging="0" w:left="0" w:right="0"/>
        <w:jc w:val="both"/>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76" w:before="57" w:after="57"/>
        <w:ind w:hanging="0" w:left="0" w:right="0"/>
        <w:jc w:val="both"/>
        <w:rPr/>
      </w:pPr>
      <w:r>
        <w:rPr>
          <w:rFonts w:ascii="Verdana" w:hAnsi="Verdana"/>
          <w:sz w:val="20"/>
          <w:szCs w:val="20"/>
        </w:rPr>
        <w:t xml:space="preserve">8.9.1 As propostas com preços próximos ou inferiores ao mínimo estabelecido pela Prefeitura Municipal de São Gabriel da Palha, disponibilizado em meio eletrônico, no </w:t>
      </w:r>
      <w:r>
        <w:rPr>
          <w:rFonts w:cs="Arial" w:ascii="Verdana" w:hAnsi="Verdana"/>
          <w:color w:val="000000"/>
          <w:sz w:val="20"/>
          <w:szCs w:val="20"/>
        </w:rPr>
        <w:t xml:space="preserve">Portal de Compras do Governo Federal – </w:t>
      </w:r>
      <w:hyperlink r:id="rId3">
        <w:r>
          <w:rPr>
            <w:rStyle w:val="Hyperlink"/>
            <w:rFonts w:cs="Arial" w:ascii="Verdana" w:hAnsi="Verdana"/>
            <w:color w:val="000000"/>
            <w:sz w:val="20"/>
            <w:szCs w:val="20"/>
          </w:rPr>
          <w:t>www.comprasgovernamentais.gov.br</w:t>
        </w:r>
      </w:hyperlink>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2"/>
        </w:numPr>
        <w:tabs>
          <w:tab w:val="clear" w:pos="720"/>
          <w:tab w:val="left" w:pos="517" w:leader="none"/>
        </w:tabs>
        <w:spacing w:lineRule="auto" w:line="276" w:before="57" w:after="57"/>
        <w:ind w:hanging="0" w:left="0" w:right="0"/>
        <w:contextualSpacing w:val="false"/>
        <w:jc w:val="both"/>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76" w:before="57" w:after="57"/>
        <w:ind w:hanging="0" w:left="0" w:right="0"/>
        <w:contextualSpacing w:val="false"/>
        <w:jc w:val="both"/>
        <w:rPr/>
      </w:pPr>
      <w:r>
        <w:rPr>
          <w:rFonts w:cs="Arial" w:ascii="Verdana" w:hAnsi="Verdana"/>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20"/>
          <w:tab w:val="left" w:pos="517" w:leader="none"/>
        </w:tabs>
        <w:spacing w:lineRule="auto" w:line="276" w:before="57" w:after="57"/>
        <w:ind w:hanging="0" w:left="0" w:right="0"/>
        <w:contextualSpacing w:val="false"/>
        <w:jc w:val="both"/>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76" w:before="57" w:after="57"/>
        <w:ind w:hanging="0" w:left="0" w:right="0"/>
        <w:contextualSpacing w:val="false"/>
        <w:jc w:val="both"/>
        <w:rPr/>
      </w:pPr>
      <w:r>
        <w:rPr>
          <w:rFonts w:cs="Arial" w:ascii="Verdana" w:hAnsi="Verdana"/>
          <w:color w:val="000000"/>
          <w:sz w:val="20"/>
          <w:szCs w:val="20"/>
          <w:lang w:eastAsia="en-US"/>
        </w:rPr>
        <w:t>8.11.1 É facultado ao pregoeiro prorrogar o prazo estabelecido, a partir de solicitação fundamentada feita no chat pelo licitante, antes de findo o prazo.</w:t>
      </w:r>
    </w:p>
    <w:p>
      <w:pPr>
        <w:pStyle w:val="ListParagraph"/>
        <w:spacing w:lineRule="auto" w:line="276" w:before="57" w:after="57"/>
        <w:ind w:hanging="0" w:left="0" w:right="0"/>
        <w:contextualSpacing w:val="false"/>
        <w:jc w:val="both"/>
        <w:rPr/>
      </w:pPr>
      <w:r>
        <w:rPr>
          <w:rFonts w:cs="Arial" w:ascii="Verdana" w:hAnsi="Verdana"/>
          <w:sz w:val="20"/>
          <w:szCs w:val="20"/>
          <w:lang w:eastAsia="en-US"/>
        </w:rPr>
        <w:t>8.11.2 Dentre os documentos passíveis de solicitação pelo Pregoeiro, destacam-se as planilhas de custo readequadas com o valor final ofertado.</w:t>
      </w:r>
    </w:p>
    <w:p>
      <w:pPr>
        <w:pStyle w:val="ListParagraph"/>
        <w:numPr>
          <w:ilvl w:val="1"/>
          <w:numId w:val="2"/>
        </w:numPr>
        <w:tabs>
          <w:tab w:val="clear" w:pos="720"/>
          <w:tab w:val="left" w:pos="517" w:leader="none"/>
        </w:tabs>
        <w:spacing w:lineRule="auto" w:line="276" w:before="57" w:after="57"/>
        <w:ind w:hanging="0" w:left="0" w:right="0"/>
        <w:contextualSpacing w:val="false"/>
        <w:jc w:val="both"/>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2"/>
        </w:numPr>
        <w:tabs>
          <w:tab w:val="clear" w:pos="720"/>
          <w:tab w:val="left" w:pos="517" w:leader="none"/>
        </w:tabs>
        <w:spacing w:lineRule="auto" w:line="276" w:before="57" w:after="57"/>
        <w:ind w:hanging="0" w:left="0" w:right="0"/>
        <w:contextualSpacing w:val="false"/>
        <w:jc w:val="both"/>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2"/>
        </w:numPr>
        <w:tabs>
          <w:tab w:val="clear" w:pos="720"/>
          <w:tab w:val="left" w:pos="517" w:leader="none"/>
        </w:tabs>
        <w:spacing w:lineRule="auto" w:line="276" w:before="57" w:after="57"/>
        <w:ind w:hanging="0" w:left="0" w:right="0"/>
        <w:contextualSpacing w:val="false"/>
        <w:jc w:val="both"/>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desclassificação da proposta. A planilha poderá́ ser ajustada pelo licitante, no prazo indicado pelo Pregoeiro, desde que não haja majoração do preço. </w:t>
      </w:r>
    </w:p>
    <w:p>
      <w:pPr>
        <w:pStyle w:val="Normal"/>
        <w:numPr>
          <w:ilvl w:val="2"/>
          <w:numId w:val="2"/>
        </w:numPr>
        <w:tabs>
          <w:tab w:val="clear" w:pos="720"/>
          <w:tab w:val="left" w:pos="683" w:leader="none"/>
          <w:tab w:val="left" w:pos="900" w:leader="none"/>
        </w:tabs>
        <w:snapToGrid w:val="false"/>
        <w:spacing w:lineRule="auto" w:line="276" w:before="57" w:after="57"/>
        <w:ind w:hanging="0" w:left="0" w:right="0"/>
        <w:jc w:val="both"/>
        <w:rPr/>
      </w:pPr>
      <w:r>
        <w:rPr>
          <w:rFonts w:cs="Arial" w:ascii="Verdana" w:hAnsi="Verdana"/>
          <w:sz w:val="20"/>
          <w:szCs w:val="20"/>
        </w:rPr>
        <w:t>O ajuste de que trata este dispositivo se limita a sanar erros ou falhas que não alterem a substância das propostas;</w:t>
      </w:r>
    </w:p>
    <w:p>
      <w:pPr>
        <w:pStyle w:val="Normal"/>
        <w:numPr>
          <w:ilvl w:val="2"/>
          <w:numId w:val="2"/>
        </w:numPr>
        <w:tabs>
          <w:tab w:val="clear" w:pos="720"/>
          <w:tab w:val="left" w:pos="683" w:leader="none"/>
          <w:tab w:val="left" w:pos="900" w:leader="none"/>
        </w:tabs>
        <w:snapToGrid w:val="false"/>
        <w:spacing w:lineRule="auto" w:line="276" w:before="57" w:after="57"/>
        <w:ind w:hanging="0" w:left="0" w:right="0"/>
        <w:jc w:val="both"/>
        <w:rPr/>
      </w:pP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2"/>
        </w:numPr>
        <w:tabs>
          <w:tab w:val="clear" w:pos="720"/>
          <w:tab w:val="left" w:pos="683" w:leader="none"/>
          <w:tab w:val="left" w:pos="900" w:leader="none"/>
        </w:tabs>
        <w:snapToGrid w:val="false"/>
        <w:spacing w:lineRule="auto" w:line="276" w:before="57" w:after="57"/>
        <w:ind w:hanging="0" w:left="0" w:right="0"/>
        <w:jc w:val="both"/>
        <w:rPr/>
      </w:pP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2"/>
        </w:numPr>
        <w:tabs>
          <w:tab w:val="clear" w:pos="720"/>
          <w:tab w:val="left" w:pos="517" w:leader="none"/>
        </w:tabs>
        <w:spacing w:lineRule="auto" w:line="276" w:before="57" w:after="57"/>
        <w:ind w:hanging="0" w:left="0" w:right="0"/>
        <w:contextualSpacing w:val="false"/>
        <w:jc w:val="both"/>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57" w:after="57"/>
        <w:ind w:hanging="0" w:left="0" w:right="0"/>
        <w:jc w:val="both"/>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57" w:after="57"/>
        <w:ind w:hanging="0" w:left="0" w:right="0"/>
        <w:jc w:val="both"/>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before="57" w:after="57"/>
        <w:ind w:hanging="0" w:left="0" w:right="0"/>
        <w:jc w:val="both"/>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57" w:after="57"/>
        <w:ind w:hanging="0" w:left="0" w:right="0"/>
        <w:jc w:val="both"/>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before="57" w:after="57"/>
        <w:ind w:hanging="0" w:left="0" w:right="0"/>
        <w:jc w:val="both"/>
        <w:rPr>
          <w:rFonts w:ascii="Verdana" w:hAnsi="Verdana" w:cs="Arial"/>
          <w:color w:val="000000"/>
          <w:sz w:val="20"/>
          <w:szCs w:val="20"/>
        </w:rPr>
      </w:pPr>
      <w:r>
        <w:rPr/>
      </w:r>
    </w:p>
    <w:p>
      <w:pPr>
        <w:pStyle w:val="Nivel01"/>
        <w:numPr>
          <w:ilvl w:val="0"/>
          <w:numId w:val="2"/>
        </w:numPr>
        <w:spacing w:lineRule="auto" w:line="276" w:before="57" w:after="57"/>
        <w:ind w:hanging="0" w:left="0" w:right="0"/>
        <w:rPr/>
      </w:pPr>
      <w:r>
        <w:rPr>
          <w:rFonts w:cs="Arial" w:ascii="Verdana" w:hAnsi="Verdana"/>
          <w:sz w:val="20"/>
          <w:szCs w:val="20"/>
          <w:lang w:eastAsia="en-US"/>
        </w:rPr>
        <w:t>DA HABILITAÇÃO</w:t>
      </w:r>
    </w:p>
    <w:p>
      <w:pPr>
        <w:pStyle w:val="Nivel01"/>
        <w:numPr>
          <w:ilvl w:val="1"/>
          <w:numId w:val="2"/>
        </w:numPr>
        <w:tabs>
          <w:tab w:val="clear" w:pos="567"/>
          <w:tab w:val="left" w:pos="517" w:leader="none"/>
          <w:tab w:val="left" w:pos="683" w:leader="none"/>
        </w:tabs>
        <w:spacing w:lineRule="auto" w:line="276" w:before="57" w:after="57"/>
        <w:ind w:hanging="0" w:left="0" w:right="0"/>
        <w:rPr/>
      </w:pPr>
      <w:r>
        <w:rPr>
          <w:rFonts w:cs="Arial" w:ascii="Verdana" w:hAnsi="Verdana"/>
          <w:b w:val="false"/>
          <w:sz w:val="20"/>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hanging="0" w:left="0" w:right="0"/>
        <w:contextualSpacing w:val="false"/>
        <w:jc w:val="both"/>
        <w:rPr/>
      </w:pPr>
      <w:r>
        <w:rPr>
          <w:rFonts w:cs="Arial" w:ascii="Verdana" w:hAnsi="Verdana"/>
          <w:sz w:val="20"/>
          <w:szCs w:val="20"/>
          <w:lang w:eastAsia="ar-SA"/>
        </w:rPr>
        <w:t>a) SICAF;</w:t>
      </w:r>
    </w:p>
    <w:p>
      <w:pPr>
        <w:pStyle w:val="ListParagraph"/>
        <w:spacing w:lineRule="auto" w:line="276" w:before="57" w:after="57"/>
        <w:ind w:hanging="0" w:left="0" w:righ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19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57"/>
        <w:ind w:hanging="0" w:left="0" w:righ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19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57"/>
        <w:ind w:hanging="0" w:left="0" w:right="0"/>
        <w:contextualSpacing w:val="false"/>
        <w:jc w:val="both"/>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ind w:hanging="0" w:left="0" w:right="0"/>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19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ind w:hanging="0" w:left="0" w:right="0"/>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19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ind w:hanging="0" w:left="0" w:right="0"/>
        <w:jc w:val="both"/>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76" w:before="57" w:after="57"/>
        <w:ind w:hanging="0" w:left="0" w:right="0"/>
        <w:contextualSpacing w:val="false"/>
        <w:jc w:val="both"/>
        <w:rPr/>
      </w:pPr>
      <w:r>
        <w:rPr>
          <w:rFonts w:cs="Arial" w:ascii="Verdana" w:hAnsi="Verdana"/>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76" w:before="57" w:after="57"/>
        <w:ind w:hanging="0" w:left="0" w:right="0"/>
        <w:contextualSpacing w:val="false"/>
        <w:jc w:val="both"/>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76" w:before="57" w:after="57"/>
        <w:ind w:hanging="0" w:left="0" w:right="0"/>
        <w:contextualSpacing w:val="false"/>
        <w:jc w:val="both"/>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57" w:after="57"/>
        <w:ind w:hanging="0" w:left="0" w:right="0"/>
        <w:contextualSpacing w:val="false"/>
        <w:jc w:val="both"/>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57" w:after="57"/>
        <w:ind w:hanging="0" w:left="0" w:right="0"/>
        <w:contextualSpacing w:val="false"/>
        <w:jc w:val="both"/>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20"/>
          <w:tab w:val="left" w:pos="567" w:leader="none"/>
        </w:tabs>
        <w:spacing w:lineRule="auto" w:line="276" w:before="57" w:after="57"/>
        <w:ind w:hanging="0" w:left="0" w:right="0"/>
        <w:contextualSpacing w:val="false"/>
        <w:jc w:val="both"/>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57" w:after="57"/>
        <w:ind w:hanging="0" w:left="0" w:right="0"/>
        <w:contextualSpacing w:val="false"/>
        <w:jc w:val="both"/>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57" w:after="57"/>
        <w:ind w:hanging="0" w:left="0" w:right="0"/>
        <w:contextualSpacing w:val="false"/>
        <w:jc w:val="both"/>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57" w:after="57"/>
        <w:ind w:hanging="0" w:left="0" w:right="0"/>
        <w:contextualSpacing w:val="false"/>
        <w:jc w:val="both"/>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tabs>
          <w:tab w:val="clear" w:pos="720"/>
          <w:tab w:val="left" w:pos="567" w:leader="none"/>
        </w:tabs>
        <w:spacing w:lineRule="auto" w:line="276" w:before="57" w:after="57"/>
        <w:ind w:hanging="0" w:left="0" w:right="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tabs>
          <w:tab w:val="clear" w:pos="720"/>
          <w:tab w:val="left" w:pos="567" w:leader="none"/>
        </w:tabs>
        <w:spacing w:lineRule="auto" w:line="276" w:before="57" w:after="57"/>
        <w:ind w:hanging="0" w:left="0" w:right="0"/>
        <w:rPr/>
      </w:pPr>
      <w:r>
        <w:rPr>
          <w:rFonts w:cs="Arial" w:ascii="Verdana" w:hAnsi="Verdana"/>
          <w:sz w:val="20"/>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tabs>
          <w:tab w:val="clear" w:pos="720"/>
          <w:tab w:val="left" w:pos="567" w:leader="none"/>
        </w:tabs>
        <w:spacing w:lineRule="auto" w:line="276" w:before="57" w:after="57"/>
        <w:ind w:hanging="0" w:left="0" w:right="0"/>
        <w:rPr/>
      </w:pPr>
      <w:r>
        <w:rPr>
          <w:rFonts w:cs="Arial" w:ascii="Verdana" w:hAnsi="Verdana"/>
          <w:sz w:val="20"/>
          <w:szCs w:val="20"/>
        </w:rPr>
        <w:t>Não serão aceitos documentos de habilitação com indicação de CNPJ/CPF diferentes, salvo aqueles legalmente permitidos.</w:t>
      </w:r>
    </w:p>
    <w:p>
      <w:pPr>
        <w:pStyle w:val="PADRO"/>
        <w:widowControl/>
        <w:numPr>
          <w:ilvl w:val="1"/>
          <w:numId w:val="2"/>
        </w:numPr>
        <w:tabs>
          <w:tab w:val="clear" w:pos="720"/>
          <w:tab w:val="left" w:pos="567" w:leader="none"/>
        </w:tabs>
        <w:spacing w:lineRule="auto" w:line="276" w:before="57" w:after="57"/>
        <w:ind w:hanging="0" w:left="0" w:right="0"/>
        <w:rPr/>
      </w:pPr>
      <w:r>
        <w:rPr>
          <w:rFonts w:cs="Arial" w:ascii="Verdana" w:hAnsi="Verdana"/>
          <w:sz w:val="20"/>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tabs>
          <w:tab w:val="clear" w:pos="720"/>
          <w:tab w:val="left" w:pos="567" w:leader="none"/>
        </w:tabs>
        <w:spacing w:lineRule="auto" w:line="276" w:before="57" w:after="57"/>
        <w:ind w:hanging="0" w:left="0" w:right="0"/>
        <w:rPr/>
      </w:pPr>
      <w:r>
        <w:rPr>
          <w:rFonts w:cs="Arial" w:ascii="Verdana" w:hAnsi="Verdana"/>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57" w:after="57"/>
        <w:ind w:hanging="0" w:left="0" w:right="0"/>
        <w:contextualSpacing w:val="false"/>
        <w:jc w:val="both"/>
        <w:rPr/>
      </w:pPr>
      <w:r>
        <w:rPr>
          <w:rFonts w:cs="Arial" w:ascii="Verdana" w:hAnsi="Verdana"/>
          <w:b/>
          <w:bCs/>
          <w:color w:val="000000"/>
          <w:sz w:val="20"/>
          <w:szCs w:val="20"/>
        </w:rPr>
        <w:t>Habilitação jurídica:</w:t>
      </w:r>
    </w:p>
    <w:p>
      <w:pPr>
        <w:pStyle w:val="ListParagraph"/>
        <w:numPr>
          <w:ilvl w:val="2"/>
          <w:numId w:val="2"/>
        </w:numPr>
        <w:spacing w:lineRule="auto" w:line="276" w:before="57" w:after="57"/>
        <w:ind w:hanging="0" w:left="0" w:right="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57" w:after="57"/>
        <w:ind w:hanging="0" w:left="0" w:righ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19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57" w:after="57"/>
        <w:ind w:hanging="0" w:left="0" w:right="0"/>
        <w:contextualSpacing w:val="false"/>
        <w:jc w:val="both"/>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57" w:after="57"/>
        <w:ind w:hanging="0" w:left="0" w:right="0"/>
        <w:contextualSpacing w:val="false"/>
        <w:jc w:val="both"/>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57" w:after="57"/>
        <w:ind w:hanging="0" w:left="0" w:right="0"/>
        <w:contextualSpacing w:val="false"/>
        <w:jc w:val="both"/>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57" w:after="57"/>
        <w:ind w:hanging="0" w:left="0" w:right="0"/>
        <w:contextualSpacing w:val="false"/>
        <w:jc w:val="both"/>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57" w:after="57"/>
        <w:ind w:hanging="0" w:left="0" w:right="0"/>
        <w:contextualSpacing w:val="false"/>
        <w:jc w:val="both"/>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57" w:after="57"/>
        <w:ind w:hanging="0" w:left="0" w:right="0"/>
        <w:contextualSpacing w:val="false"/>
        <w:jc w:val="both"/>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57" w:after="57"/>
        <w:ind w:hanging="0" w:left="0" w:right="0"/>
        <w:contextualSpacing w:val="false"/>
        <w:jc w:val="both"/>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57" w:after="57"/>
        <w:ind w:hanging="0" w:left="0" w:right="0"/>
        <w:jc w:val="both"/>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57" w:after="57"/>
        <w:ind w:hanging="0" w:left="0" w:right="0"/>
        <w:jc w:val="both"/>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57" w:after="57"/>
        <w:ind w:hanging="0" w:left="0" w:right="0"/>
        <w:jc w:val="both"/>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57" w:after="57"/>
        <w:ind w:hanging="0" w:left="0" w:right="0"/>
        <w:jc w:val="both"/>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57" w:after="57"/>
        <w:ind w:hanging="0" w:left="0" w:right="0"/>
        <w:jc w:val="both"/>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57" w:after="57"/>
        <w:ind w:hanging="0" w:left="0" w:right="0"/>
        <w:jc w:val="both"/>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57" w:after="57"/>
        <w:ind w:hanging="0" w:left="0" w:right="0"/>
        <w:jc w:val="both"/>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76" w:before="57" w:after="57"/>
        <w:ind w:hanging="0" w:left="0" w:right="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20"/>
          <w:tab w:val="left" w:pos="850" w:leader="none"/>
        </w:tabs>
        <w:snapToGrid w:val="false"/>
        <w:spacing w:lineRule="auto" w:line="276" w:before="57" w:after="57"/>
        <w:ind w:hanging="0" w:left="0" w:right="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20"/>
          <w:tab w:val="left" w:pos="850" w:leader="none"/>
        </w:tabs>
        <w:snapToGrid w:val="false"/>
        <w:spacing w:lineRule="auto" w:line="276" w:before="57" w:after="57"/>
        <w:ind w:hanging="0" w:left="0" w:right="0"/>
        <w:jc w:val="both"/>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20"/>
          <w:tab w:val="left" w:pos="850" w:leader="none"/>
        </w:tabs>
        <w:snapToGrid w:val="false"/>
        <w:spacing w:lineRule="auto" w:line="276" w:before="57" w:after="57"/>
        <w:ind w:hanging="0" w:left="0" w:right="0"/>
        <w:jc w:val="both"/>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20"/>
          <w:tab w:val="left" w:pos="850" w:leader="none"/>
        </w:tabs>
        <w:snapToGrid w:val="false"/>
        <w:spacing w:lineRule="auto" w:line="276" w:before="57" w:after="57"/>
        <w:ind w:hanging="0" w:left="0" w:right="0"/>
        <w:jc w:val="both"/>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76" w:before="57" w:after="57"/>
        <w:ind w:hanging="0" w:left="0" w:right="0"/>
        <w:contextualSpacing w:val="false"/>
        <w:jc w:val="both"/>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ListParagraph"/>
        <w:numPr>
          <w:ilvl w:val="1"/>
          <w:numId w:val="2"/>
        </w:numPr>
        <w:spacing w:lineRule="auto" w:line="276" w:before="57" w:after="57"/>
        <w:ind w:hanging="0" w:left="0" w:right="0"/>
        <w:contextualSpacing w:val="false"/>
        <w:jc w:val="both"/>
        <w:rPr/>
      </w:pP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ListParagraph"/>
        <w:numPr>
          <w:ilvl w:val="1"/>
          <w:numId w:val="2"/>
        </w:numPr>
        <w:spacing w:lineRule="auto" w:line="276" w:before="57" w:after="57"/>
        <w:ind w:hanging="0" w:left="0" w:right="0"/>
        <w:contextualSpacing w:val="false"/>
        <w:jc w:val="both"/>
        <w:rPr/>
      </w:pPr>
      <w:r>
        <w:rPr>
          <w:rFonts w:cs="Arial" w:ascii="Verdana" w:hAnsi="Verdana"/>
          <w:color w:val="000000"/>
          <w:sz w:val="20"/>
          <w:szCs w:val="20"/>
        </w:rPr>
        <w:t>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20"/>
          <w:tab w:val="left" w:pos="617" w:leader="none"/>
        </w:tabs>
        <w:snapToGrid w:val="false"/>
        <w:spacing w:lineRule="auto" w:line="276" w:before="57" w:after="57"/>
        <w:ind w:hanging="0" w:left="0" w:right="0"/>
        <w:contextualSpacing w:val="false"/>
        <w:jc w:val="both"/>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20"/>
          <w:tab w:val="left" w:pos="617" w:leader="none"/>
        </w:tabs>
        <w:snapToGrid w:val="false"/>
        <w:spacing w:lineRule="auto" w:line="276" w:before="57" w:after="57"/>
        <w:ind w:hanging="0" w:left="0" w:right="0"/>
        <w:contextualSpacing w:val="false"/>
        <w:jc w:val="both"/>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
        </w:numPr>
        <w:tabs>
          <w:tab w:val="clear" w:pos="720"/>
          <w:tab w:val="left" w:pos="850" w:leader="none"/>
        </w:tabs>
        <w:spacing w:lineRule="auto" w:line="276" w:before="57" w:after="57"/>
        <w:ind w:hanging="0" w:left="0" w:right="0"/>
        <w:contextualSpacing w:val="false"/>
        <w:jc w:val="both"/>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
        </w:numPr>
        <w:tabs>
          <w:tab w:val="clear" w:pos="720"/>
          <w:tab w:val="left" w:pos="517" w:leader="none"/>
        </w:tabs>
        <w:spacing w:lineRule="auto" w:line="276" w:before="57" w:after="57"/>
        <w:ind w:hanging="0" w:left="0" w:right="0"/>
        <w:contextualSpacing w:val="false"/>
        <w:jc w:val="both"/>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
        </w:numPr>
        <w:tabs>
          <w:tab w:val="clear" w:pos="720"/>
          <w:tab w:val="left" w:pos="517" w:leader="none"/>
        </w:tabs>
        <w:spacing w:lineRule="auto" w:line="276" w:before="57" w:after="57"/>
        <w:ind w:hanging="0" w:left="0" w:right="0"/>
        <w:contextualSpacing w:val="false"/>
        <w:jc w:val="both"/>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2"/>
        </w:numPr>
        <w:tabs>
          <w:tab w:val="clear" w:pos="720"/>
          <w:tab w:val="left" w:pos="517" w:leader="none"/>
        </w:tabs>
        <w:spacing w:lineRule="auto" w:line="276" w:before="57" w:after="57"/>
        <w:ind w:hanging="0" w:left="0" w:right="0"/>
        <w:contextualSpacing w:val="false"/>
        <w:jc w:val="both"/>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2"/>
        </w:numPr>
        <w:tabs>
          <w:tab w:val="clear" w:pos="720"/>
          <w:tab w:val="left" w:pos="517" w:leader="none"/>
        </w:tabs>
        <w:spacing w:lineRule="auto" w:line="276" w:before="57" w:after="57"/>
        <w:ind w:hanging="0" w:left="0" w:right="0"/>
        <w:contextualSpacing w:val="false"/>
        <w:jc w:val="both"/>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2"/>
        </w:numPr>
        <w:tabs>
          <w:tab w:val="clear" w:pos="720"/>
          <w:tab w:val="left" w:pos="517" w:leader="none"/>
        </w:tabs>
        <w:spacing w:lineRule="auto" w:line="276" w:before="57" w:after="57"/>
        <w:ind w:hanging="0" w:left="0" w:right="0"/>
        <w:contextualSpacing w:val="false"/>
        <w:jc w:val="both"/>
        <w:rPr/>
      </w:pPr>
      <w:r>
        <w:rPr>
          <w:rFonts w:cs="Arial" w:ascii="Verdana" w:hAnsi="Verdana"/>
          <w:bCs/>
          <w:color w:val="000000"/>
          <w:sz w:val="20"/>
          <w:szCs w:val="20"/>
        </w:rPr>
        <w:t>Constatado o atendimento às exigências de habilitação fixadas no Edital, o licitante será declarado vencedor.</w:t>
      </w:r>
    </w:p>
    <w:p>
      <w:pPr>
        <w:pStyle w:val="Normal"/>
        <w:spacing w:lineRule="auto" w:line="276" w:before="57" w:after="57"/>
        <w:ind w:hanging="0" w:left="0" w:right="0"/>
        <w:jc w:val="both"/>
        <w:rPr/>
      </w:pPr>
      <w:r>
        <w:rPr>
          <w:rFonts w:ascii="Verdana" w:hAnsi="Verdana"/>
          <w:b/>
          <w:bCs/>
          <w:sz w:val="20"/>
          <w:szCs w:val="20"/>
        </w:rPr>
        <w:t>9.21 DAS AMOSTRAS</w:t>
      </w:r>
    </w:p>
    <w:p>
      <w:pPr>
        <w:pStyle w:val="Normal"/>
        <w:spacing w:lineRule="auto" w:line="276" w:before="57" w:after="57"/>
        <w:ind w:hanging="0" w:left="0" w:right="0"/>
        <w:jc w:val="both"/>
        <w:rPr/>
      </w:pPr>
      <w:r>
        <w:rPr>
          <w:rFonts w:cs="Arial" w:ascii="Verdana" w:hAnsi="Verdana"/>
          <w:sz w:val="20"/>
          <w:szCs w:val="20"/>
        </w:rPr>
        <w:t>9.22.</w:t>
      </w:r>
      <w:r>
        <w:rPr>
          <w:rFonts w:cs="Arial" w:ascii="Verdana" w:hAnsi="Verdana"/>
          <w:b/>
          <w:sz w:val="20"/>
          <w:szCs w:val="20"/>
        </w:rPr>
        <w:t xml:space="preserve"> </w:t>
      </w:r>
      <w:r>
        <w:rPr>
          <w:rFonts w:cs="Arial" w:ascii="Verdana" w:hAnsi="Verdana"/>
          <w:sz w:val="20"/>
          <w:szCs w:val="20"/>
        </w:rPr>
        <w:t xml:space="preserve">As amostras deverão ser apresentadas em no Máximo 2 (dois) dias úteis após </w:t>
      </w:r>
      <w:r>
        <w:rPr>
          <w:rFonts w:eastAsia="Times New Roman" w:cs="Arial" w:ascii="Verdana" w:hAnsi="Verdana"/>
          <w:sz w:val="20"/>
          <w:szCs w:val="20"/>
        </w:rPr>
        <w:t>o certame licitatório</w:t>
      </w:r>
      <w:r>
        <w:rPr>
          <w:rFonts w:cs="Arial" w:ascii="Verdana" w:hAnsi="Verdana"/>
          <w:sz w:val="20"/>
          <w:szCs w:val="20"/>
        </w:rPr>
        <w:t>, podendo o prazo ser prorrogado ou a entrega ser dispensada, a pedido da contratante, desde que através de solicitação devidamente justificada e aceita;</w:t>
      </w:r>
    </w:p>
    <w:p>
      <w:pPr>
        <w:pStyle w:val="Normal"/>
        <w:spacing w:lineRule="auto" w:line="276" w:before="57" w:after="57"/>
        <w:ind w:hanging="0" w:left="0" w:right="0"/>
        <w:jc w:val="both"/>
        <w:rPr/>
      </w:pPr>
      <w:r>
        <w:rPr>
          <w:rFonts w:cs="Arial" w:ascii="Verdana" w:hAnsi="Verdana"/>
          <w:sz w:val="20"/>
          <w:szCs w:val="20"/>
        </w:rPr>
        <w:t>9.2</w:t>
      </w:r>
      <w:r>
        <w:rPr>
          <w:rFonts w:cs="Arial" w:ascii="Verdana" w:hAnsi="Verdana"/>
          <w:sz w:val="20"/>
          <w:szCs w:val="20"/>
        </w:rPr>
        <w:t>3</w:t>
      </w:r>
      <w:r>
        <w:rPr>
          <w:rFonts w:cs="Arial" w:ascii="Verdana" w:hAnsi="Verdana"/>
          <w:sz w:val="20"/>
          <w:szCs w:val="20"/>
        </w:rPr>
        <w:t>. Os produtos apresentados como amostras poderão ser abertos, manuseados e consumidos.</w:t>
      </w:r>
    </w:p>
    <w:p>
      <w:pPr>
        <w:pStyle w:val="Normal"/>
        <w:spacing w:lineRule="auto" w:line="276" w:before="57" w:after="57"/>
        <w:ind w:hanging="0" w:left="0" w:right="0"/>
        <w:jc w:val="both"/>
        <w:rPr/>
      </w:pPr>
      <w:r>
        <w:rPr>
          <w:rFonts w:cs="Arial" w:ascii="Verdana" w:hAnsi="Verdana"/>
          <w:sz w:val="20"/>
          <w:szCs w:val="20"/>
        </w:rPr>
        <w:t>9.25. A amostra apresentada, não será em hipótese alguma, considerada como início de entrega dos gêneros alimentícios.</w:t>
      </w:r>
    </w:p>
    <w:p>
      <w:pPr>
        <w:pStyle w:val="Normal"/>
        <w:spacing w:lineRule="auto" w:line="276" w:before="57" w:after="57"/>
        <w:ind w:hanging="0" w:left="0" w:right="0"/>
        <w:jc w:val="both"/>
        <w:rPr/>
      </w:pPr>
      <w:r>
        <w:rPr>
          <w:rFonts w:cs="Arial" w:ascii="Verdana" w:hAnsi="Verdana"/>
          <w:color w:val="000000"/>
          <w:sz w:val="20"/>
          <w:szCs w:val="20"/>
        </w:rPr>
        <w:t>9.26 As amostras serão avaliadas pela Comissão do Núcleo de Promoção da Qualidade da Alimentação Escolar, apresentado o resultado em laudo escrito.</w:t>
      </w:r>
    </w:p>
    <w:p>
      <w:pPr>
        <w:pStyle w:val="Normal"/>
        <w:spacing w:lineRule="auto" w:line="276" w:before="57" w:after="57"/>
        <w:ind w:hanging="0" w:left="0"/>
        <w:jc w:val="both"/>
        <w:rPr>
          <w:rFonts w:ascii="Verdana" w:hAnsi="Verdana"/>
          <w:sz w:val="20"/>
          <w:szCs w:val="20"/>
        </w:rPr>
      </w:pPr>
      <w:r>
        <w:rPr>
          <w:rFonts w:cs="Arial" w:ascii="Verdana" w:hAnsi="Verdana"/>
          <w:b/>
          <w:bCs/>
          <w:sz w:val="20"/>
          <w:szCs w:val="20"/>
        </w:rPr>
        <w:t>9.26</w:t>
      </w:r>
      <w:r>
        <w:rPr>
          <w:rFonts w:cs="Arial" w:ascii="Verdana" w:hAnsi="Verdana"/>
          <w:b/>
          <w:bCs/>
          <w:sz w:val="20"/>
          <w:szCs w:val="20"/>
        </w:rPr>
        <w:t xml:space="preserve"> LOCAL DE ENTREGA </w:t>
      </w:r>
    </w:p>
    <w:p>
      <w:pPr>
        <w:pStyle w:val="Normal"/>
        <w:spacing w:lineRule="auto" w:line="276" w:before="57" w:after="57"/>
        <w:ind w:hanging="0" w:left="0"/>
        <w:jc w:val="both"/>
        <w:rPr>
          <w:rFonts w:ascii="Verdana" w:hAnsi="Verdana"/>
          <w:sz w:val="20"/>
          <w:szCs w:val="20"/>
        </w:rPr>
      </w:pPr>
      <w:r>
        <w:rPr>
          <w:rFonts w:cs="Arial" w:ascii="Verdana" w:hAnsi="Verdana"/>
          <w:bCs/>
          <w:sz w:val="20"/>
          <w:szCs w:val="20"/>
        </w:rPr>
        <w:t>Rua: Manoel Inácio da Silva, Nº 247 – Bairro São Vicente</w:t>
      </w:r>
    </w:p>
    <w:p>
      <w:pPr>
        <w:pStyle w:val="Normal"/>
        <w:spacing w:lineRule="auto" w:line="276" w:before="57" w:after="57"/>
        <w:ind w:hanging="0" w:left="0"/>
        <w:jc w:val="both"/>
        <w:rPr>
          <w:rFonts w:ascii="Verdana" w:hAnsi="Verdana"/>
          <w:sz w:val="20"/>
          <w:szCs w:val="20"/>
        </w:rPr>
      </w:pPr>
      <w:r>
        <w:rPr>
          <w:rFonts w:cs="Arial" w:ascii="Verdana" w:hAnsi="Verdana"/>
          <w:bCs/>
          <w:sz w:val="20"/>
          <w:szCs w:val="20"/>
        </w:rPr>
        <w:t>SEMAE – Setor de Merenda Escolar.</w:t>
      </w:r>
    </w:p>
    <w:p>
      <w:pPr>
        <w:pStyle w:val="Normal"/>
        <w:spacing w:lineRule="auto" w:line="276" w:before="57" w:after="57"/>
        <w:ind w:hanging="0" w:left="0"/>
        <w:jc w:val="both"/>
        <w:rPr>
          <w:rFonts w:ascii="Verdana" w:hAnsi="Verdana"/>
          <w:sz w:val="20"/>
          <w:szCs w:val="20"/>
        </w:rPr>
      </w:pPr>
      <w:r>
        <w:rPr>
          <w:rFonts w:cs="Arial" w:ascii="Verdana" w:hAnsi="Verdana"/>
          <w:bCs/>
          <w:sz w:val="20"/>
          <w:szCs w:val="20"/>
        </w:rPr>
        <w:t>São Gabriel da Palha – ES</w:t>
      </w:r>
    </w:p>
    <w:p>
      <w:pPr>
        <w:pStyle w:val="Normal"/>
        <w:spacing w:lineRule="auto" w:line="276" w:before="57" w:after="57"/>
        <w:ind w:hanging="0" w:left="0"/>
        <w:jc w:val="both"/>
        <w:rPr>
          <w:rFonts w:ascii="Verdana" w:hAnsi="Verdana"/>
          <w:sz w:val="20"/>
          <w:szCs w:val="20"/>
        </w:rPr>
      </w:pPr>
      <w:r>
        <w:rPr>
          <w:rFonts w:cs="Arial" w:ascii="Verdana" w:hAnsi="Verdana"/>
          <w:bCs/>
          <w:sz w:val="20"/>
          <w:szCs w:val="20"/>
        </w:rPr>
        <w:t>CEP 29.7800-000</w:t>
      </w:r>
    </w:p>
    <w:p>
      <w:pPr>
        <w:pStyle w:val="Normal"/>
        <w:spacing w:lineRule="auto" w:line="276" w:before="57" w:after="57"/>
        <w:ind w:hanging="0" w:left="0"/>
        <w:jc w:val="both"/>
        <w:rPr>
          <w:rFonts w:ascii="Verdana" w:hAnsi="Verdana"/>
          <w:sz w:val="20"/>
          <w:szCs w:val="20"/>
        </w:rPr>
      </w:pPr>
      <w:r>
        <w:rPr>
          <w:rFonts w:cs="Arial" w:ascii="Verdana" w:hAnsi="Verdana"/>
          <w:b/>
          <w:sz w:val="20"/>
          <w:szCs w:val="20"/>
        </w:rPr>
        <w:t>9.27</w:t>
      </w:r>
      <w:r>
        <w:rPr>
          <w:rFonts w:cs="Arial" w:ascii="Verdana" w:hAnsi="Verdana"/>
          <w:b/>
          <w:sz w:val="20"/>
          <w:szCs w:val="20"/>
        </w:rPr>
        <w:t xml:space="preserve"> CONTATO</w:t>
      </w:r>
    </w:p>
    <w:p>
      <w:pPr>
        <w:pStyle w:val="Normal"/>
        <w:spacing w:lineRule="auto" w:line="276" w:before="57" w:after="57"/>
        <w:ind w:hanging="0" w:left="0"/>
        <w:jc w:val="both"/>
        <w:rPr>
          <w:rFonts w:ascii="Verdana" w:hAnsi="Verdana"/>
          <w:sz w:val="20"/>
          <w:szCs w:val="20"/>
        </w:rPr>
      </w:pPr>
      <w:r>
        <w:rPr>
          <w:rFonts w:cs="Arial" w:ascii="Verdana" w:hAnsi="Verdana"/>
          <w:b/>
          <w:sz w:val="20"/>
          <w:szCs w:val="20"/>
        </w:rPr>
        <w:t xml:space="preserve">Tel: </w:t>
      </w:r>
      <w:r>
        <w:rPr>
          <w:rFonts w:cs="Arial" w:ascii="Verdana" w:hAnsi="Verdana"/>
          <w:sz w:val="20"/>
          <w:szCs w:val="20"/>
        </w:rPr>
        <w:t>27 3727-3993</w:t>
      </w:r>
    </w:p>
    <w:p>
      <w:pPr>
        <w:pStyle w:val="Normal"/>
        <w:spacing w:lineRule="auto" w:line="276" w:before="57" w:after="57"/>
        <w:ind w:hanging="0" w:left="0"/>
        <w:jc w:val="both"/>
        <w:rPr>
          <w:rFonts w:ascii="Verdana" w:hAnsi="Verdana"/>
          <w:sz w:val="20"/>
          <w:szCs w:val="20"/>
        </w:rPr>
      </w:pPr>
      <w:r>
        <w:rPr>
          <w:rFonts w:cs="Arial" w:ascii="Verdana" w:hAnsi="Verdana"/>
          <w:b/>
          <w:sz w:val="20"/>
          <w:szCs w:val="20"/>
        </w:rPr>
        <w:t xml:space="preserve">Email: </w:t>
      </w:r>
      <w:r>
        <w:rPr>
          <w:rFonts w:cs="Arial" w:ascii="Verdana" w:hAnsi="Verdana"/>
          <w:sz w:val="20"/>
          <w:szCs w:val="20"/>
        </w:rPr>
        <w:t>financeirosemecsgp@gmail.com</w:t>
      </w:r>
    </w:p>
    <w:p>
      <w:pPr>
        <w:pStyle w:val="Normal"/>
        <w:spacing w:lineRule="auto" w:line="276" w:before="57" w:after="57"/>
        <w:ind w:hanging="0" w:left="0" w:right="0"/>
        <w:jc w:val="both"/>
        <w:rPr>
          <w:rFonts w:ascii="Verdana" w:hAnsi="Verdana"/>
          <w:sz w:val="20"/>
          <w:szCs w:val="20"/>
        </w:rPr>
      </w:pPr>
      <w:r>
        <w:rPr>
          <w:rFonts w:cs="Arial" w:ascii="Verdana" w:hAnsi="Verdana"/>
          <w:b/>
          <w:bCs w:val="false"/>
          <w:color w:val="000000"/>
          <w:sz w:val="20"/>
          <w:szCs w:val="20"/>
        </w:rPr>
        <w:t xml:space="preserve">Responsável: </w:t>
      </w:r>
      <w:r>
        <w:rPr>
          <w:rFonts w:cs="Arial" w:ascii="Verdana" w:hAnsi="Verdana"/>
          <w:b w:val="false"/>
          <w:bCs w:val="false"/>
          <w:color w:val="000000"/>
          <w:sz w:val="20"/>
          <w:szCs w:val="20"/>
        </w:rPr>
        <w:t>Secretaria Municipal de Educação e SEMAE – Setor de Alimentação Escolar.</w:t>
      </w:r>
    </w:p>
    <w:p>
      <w:pPr>
        <w:pStyle w:val="Normal"/>
        <w:spacing w:lineRule="auto" w:line="276" w:before="57" w:after="57"/>
        <w:ind w:hanging="0" w:left="0" w:right="0"/>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ight="0"/>
        <w:rPr/>
      </w:pPr>
      <w:r>
        <w:rPr>
          <w:rFonts w:cs="Arial" w:ascii="Verdana" w:hAnsi="Verdana"/>
          <w:color w:val="auto"/>
          <w:sz w:val="20"/>
          <w:szCs w:val="20"/>
          <w:lang w:eastAsia="en-US"/>
        </w:rPr>
        <w:t xml:space="preserve">DO </w:t>
      </w:r>
      <w:r>
        <w:rPr>
          <w:rFonts w:cs="Arial" w:ascii="Verdana" w:hAnsi="Verdana"/>
          <w:color w:val="auto"/>
          <w:sz w:val="20"/>
          <w:szCs w:val="20"/>
        </w:rPr>
        <w:t>ENCAMINHAMENTO</w:t>
      </w:r>
      <w:r>
        <w:rPr>
          <w:rFonts w:cs="Arial" w:ascii="Verdana" w:hAnsi="Verdana"/>
          <w:color w:val="auto"/>
          <w:sz w:val="20"/>
          <w:szCs w:val="20"/>
          <w:lang w:eastAsia="en-US"/>
        </w:rPr>
        <w:t xml:space="preserve"> DA PROPOSTA VENCEDORA</w:t>
      </w:r>
    </w:p>
    <w:p>
      <w:pPr>
        <w:pStyle w:val="ListParagraph"/>
        <w:numPr>
          <w:ilvl w:val="1"/>
          <w:numId w:val="2"/>
        </w:numPr>
        <w:tabs>
          <w:tab w:val="clear" w:pos="720"/>
          <w:tab w:val="left" w:pos="617" w:leader="none"/>
        </w:tabs>
        <w:spacing w:lineRule="auto" w:line="276" w:before="57" w:after="57"/>
        <w:ind w:hanging="0" w:left="0" w:right="0"/>
        <w:contextualSpacing w:val="false"/>
        <w:jc w:val="both"/>
        <w:rPr/>
      </w:pPr>
      <w:r>
        <w:rPr>
          <w:rFonts w:cs="Arial" w:ascii="Verdana" w:hAnsi="Verdana"/>
          <w:iCs/>
          <w:sz w:val="20"/>
          <w:szCs w:val="20"/>
        </w:rPr>
        <w:t>A proposta final do licitante declarado vencedor deverá ser encaminhada no prazo de 02h00min (duas horas),</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20"/>
          <w:tab w:val="left" w:pos="617" w:leader="none"/>
          <w:tab w:val="left" w:pos="900" w:leader="none"/>
        </w:tabs>
        <w:spacing w:lineRule="auto" w:line="276" w:before="57" w:after="57"/>
        <w:ind w:hanging="0" w:left="0" w:right="0"/>
        <w:jc w:val="both"/>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20"/>
          <w:tab w:val="left" w:pos="617" w:leader="none"/>
          <w:tab w:val="left" w:pos="900" w:leader="none"/>
        </w:tabs>
        <w:spacing w:lineRule="auto" w:line="276" w:before="57" w:after="57"/>
        <w:ind w:hanging="0" w:left="0" w:right="0"/>
        <w:jc w:val="both"/>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20"/>
          <w:tab w:val="left" w:pos="617" w:leader="none"/>
          <w:tab w:val="left" w:pos="900" w:leader="none"/>
        </w:tabs>
        <w:spacing w:lineRule="auto" w:line="276" w:before="57" w:after="57"/>
        <w:ind w:hanging="0" w:left="0" w:right="0"/>
        <w:jc w:val="both"/>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57" w:after="57"/>
        <w:ind w:hanging="0" w:left="0" w:right="0"/>
        <w:contextualSpacing w:val="false"/>
        <w:jc w:val="both"/>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20"/>
          <w:tab w:val="left" w:pos="850" w:leader="none"/>
        </w:tabs>
        <w:spacing w:lineRule="auto" w:line="276" w:before="57" w:after="57"/>
        <w:ind w:hanging="0" w:left="0" w:right="0"/>
        <w:jc w:val="both"/>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57" w:after="57"/>
        <w:ind w:hanging="0" w:left="0" w:right="0"/>
        <w:contextualSpacing w:val="false"/>
        <w:jc w:val="both"/>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20"/>
          <w:tab w:val="left" w:pos="850" w:leader="none"/>
        </w:tabs>
        <w:spacing w:lineRule="auto" w:line="276" w:before="57" w:after="57"/>
        <w:ind w:hanging="0" w:left="0" w:right="0"/>
        <w:jc w:val="both"/>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57" w:after="57"/>
        <w:ind w:hanging="0" w:left="0" w:right="0"/>
        <w:contextualSpacing w:val="false"/>
        <w:jc w:val="both"/>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57" w:after="57"/>
        <w:ind w:hanging="0" w:left="0" w:right="0"/>
        <w:contextualSpacing w:val="false"/>
        <w:jc w:val="both"/>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57" w:after="57"/>
        <w:ind w:hanging="0" w:left="0" w:right="0"/>
        <w:contextualSpacing w:val="false"/>
        <w:jc w:val="both"/>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Normal"/>
        <w:spacing w:lineRule="auto" w:line="276" w:before="57" w:after="57"/>
        <w:ind w:hanging="0" w:left="0" w:right="0"/>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ight="0"/>
        <w:rPr/>
      </w:pPr>
      <w:r>
        <w:rPr>
          <w:rFonts w:cs="Arial" w:ascii="Verdana" w:hAnsi="Verdana"/>
          <w:sz w:val="20"/>
          <w:szCs w:val="20"/>
          <w:lang w:eastAsia="en-US"/>
        </w:rPr>
        <w:t>DOS RECURSOS</w:t>
      </w:r>
    </w:p>
    <w:p>
      <w:pPr>
        <w:pStyle w:val="ListParagraph"/>
        <w:numPr>
          <w:ilvl w:val="1"/>
          <w:numId w:val="2"/>
        </w:numPr>
        <w:spacing w:lineRule="auto" w:line="276" w:before="57" w:after="57"/>
        <w:ind w:hanging="0" w:left="0" w:right="0"/>
        <w:contextualSpacing w:val="false"/>
        <w:jc w:val="both"/>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57" w:after="57"/>
        <w:ind w:hanging="0" w:left="0" w:right="0"/>
        <w:contextualSpacing w:val="false"/>
        <w:jc w:val="both"/>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20"/>
          <w:tab w:val="left" w:pos="850" w:leader="none"/>
        </w:tabs>
        <w:snapToGrid w:val="false"/>
        <w:spacing w:lineRule="auto" w:line="276" w:before="57" w:after="57"/>
        <w:ind w:hanging="0" w:left="0" w:right="0"/>
        <w:jc w:val="both"/>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20"/>
          <w:tab w:val="left" w:pos="850" w:leader="none"/>
        </w:tabs>
        <w:snapToGrid w:val="false"/>
        <w:spacing w:lineRule="auto" w:line="276" w:before="57" w:after="57"/>
        <w:ind w:hanging="0" w:left="0" w:right="0"/>
        <w:jc w:val="both"/>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20"/>
          <w:tab w:val="left" w:pos="850" w:leader="none"/>
        </w:tabs>
        <w:snapToGrid w:val="false"/>
        <w:spacing w:lineRule="auto" w:line="276" w:before="57" w:after="57"/>
        <w:ind w:hanging="0" w:left="0" w:right="0"/>
        <w:jc w:val="both"/>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57" w:after="57"/>
        <w:ind w:hanging="0" w:left="0" w:right="0"/>
        <w:contextualSpacing w:val="false"/>
        <w:jc w:val="both"/>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57" w:after="57"/>
        <w:ind w:hanging="0" w:left="0" w:right="0"/>
        <w:contextualSpacing w:val="false"/>
        <w:jc w:val="both"/>
        <w:rPr/>
      </w:pPr>
      <w:r>
        <w:rPr>
          <w:rFonts w:cs="Arial" w:ascii="Verdana" w:hAnsi="Verdana"/>
          <w:color w:val="000000"/>
          <w:sz w:val="20"/>
          <w:szCs w:val="20"/>
        </w:rPr>
        <w:t>Os autos do processo permanecerão com vista franqueada aos interessados, no endereço constante neste Edital.</w:t>
      </w:r>
    </w:p>
    <w:p>
      <w:pPr>
        <w:pStyle w:val="Normal"/>
        <w:spacing w:lineRule="auto" w:line="276" w:before="57" w:after="57"/>
        <w:ind w:hanging="0" w:left="0" w:right="0"/>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ight="0"/>
        <w:rPr/>
      </w:pPr>
      <w:r>
        <w:rPr>
          <w:rFonts w:cs="Arial" w:ascii="Verdana" w:hAnsi="Verdana"/>
          <w:sz w:val="20"/>
          <w:szCs w:val="20"/>
          <w:lang w:eastAsia="en-US"/>
        </w:rPr>
        <w:t>DA REABERTURA DA SESSÃO PÚBLICA</w:t>
      </w:r>
    </w:p>
    <w:p>
      <w:pPr>
        <w:pStyle w:val="Nivel01"/>
        <w:keepNext w:val="false"/>
        <w:keepLines w:val="false"/>
        <w:numPr>
          <w:ilvl w:val="1"/>
          <w:numId w:val="2"/>
        </w:numPr>
        <w:spacing w:lineRule="auto" w:line="276" w:before="57" w:after="57"/>
        <w:ind w:hanging="0" w:left="0" w:right="0"/>
        <w:rPr/>
      </w:pPr>
      <w:r>
        <w:rPr>
          <w:rFonts w:cs="Arial" w:ascii="Verdana" w:hAnsi="Verdana"/>
          <w:b w:val="false"/>
          <w:bCs w:val="false"/>
          <w:color w:val="auto"/>
          <w:sz w:val="20"/>
          <w:szCs w:val="20"/>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ight="0"/>
        <w:rPr/>
      </w:pPr>
      <w:r>
        <w:rPr>
          <w:rFonts w:cs="Arial" w:ascii="Verdana" w:hAnsi="Verdana"/>
          <w:b w:val="false"/>
          <w:bCs w:val="false"/>
          <w:color w:val="auto"/>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57" w:after="57"/>
        <w:ind w:hanging="0" w:left="0" w:right="0"/>
        <w:rPr/>
      </w:pPr>
      <w:r>
        <w:rPr>
          <w:rFonts w:cs="Arial" w:ascii="Verdana" w:hAnsi="Verdana"/>
          <w:b w:val="false"/>
          <w:bCs w:val="false"/>
          <w:color w:val="auto"/>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57" w:after="57"/>
        <w:ind w:hanging="0" w:left="0" w:right="0"/>
        <w:rPr/>
      </w:pPr>
      <w:r>
        <w:rPr>
          <w:rFonts w:cs="Arial" w:ascii="Verdana" w:hAnsi="Verdana"/>
          <w:b w:val="false"/>
          <w:bCs w:val="false"/>
          <w:color w:val="auto"/>
          <w:sz w:val="20"/>
          <w:szCs w:val="20"/>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ight="0"/>
        <w:rPr/>
      </w:pPr>
      <w:r>
        <w:rPr>
          <w:rFonts w:cs="Arial" w:ascii="Verdana" w:hAnsi="Verdana"/>
          <w:b w:val="false"/>
          <w:bCs w:val="false"/>
          <w:color w:val="auto"/>
          <w:sz w:val="20"/>
          <w:szCs w:val="20"/>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57" w:after="57"/>
        <w:ind w:hanging="0" w:left="0" w:right="0"/>
        <w:rPr/>
      </w:pPr>
      <w:r>
        <w:rPr>
          <w:rFonts w:cs="Arial" w:ascii="Verdana" w:hAnsi="Verdana"/>
          <w:b w:val="false"/>
          <w:bCs w:val="false"/>
          <w:color w:val="auto"/>
          <w:sz w:val="20"/>
          <w:szCs w:val="20"/>
        </w:rPr>
        <w:t>A convocação feita por e-mail dar-se-á de acordo com os dados contidos no SICAF, sendo responsabilidade do licitante manter seus dados cadastrais atualizados.</w:t>
      </w:r>
    </w:p>
    <w:p>
      <w:pPr>
        <w:pStyle w:val="Normal"/>
        <w:spacing w:lineRule="auto" w:line="276" w:before="57" w:after="57"/>
        <w:ind w:hanging="0" w:left="0" w:right="0"/>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ight="0"/>
        <w:rPr/>
      </w:pPr>
      <w:r>
        <w:rPr>
          <w:rFonts w:cs="Arial" w:ascii="Verdana" w:hAnsi="Verdana"/>
          <w:sz w:val="20"/>
          <w:szCs w:val="20"/>
        </w:rPr>
        <w:t xml:space="preserve">DA ADJUDICAÇÃO E HOMOLOGAÇÃO </w:t>
      </w:r>
    </w:p>
    <w:p>
      <w:pPr>
        <w:pStyle w:val="ListParagraph"/>
        <w:numPr>
          <w:ilvl w:val="1"/>
          <w:numId w:val="2"/>
        </w:numPr>
        <w:spacing w:lineRule="auto" w:line="276" w:before="57" w:after="57"/>
        <w:ind w:hanging="0" w:left="0" w:right="0"/>
        <w:contextualSpacing w:val="false"/>
        <w:jc w:val="both"/>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57" w:after="57"/>
        <w:ind w:hanging="0" w:left="0" w:right="0"/>
        <w:contextualSpacing w:val="false"/>
        <w:jc w:val="both"/>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Normal"/>
        <w:spacing w:lineRule="auto" w:line="276" w:before="57" w:after="57"/>
        <w:ind w:hanging="0" w:left="0" w:right="0"/>
        <w:rPr>
          <w:rFonts w:ascii="Verdana" w:hAnsi="Verdana"/>
          <w:sz w:val="20"/>
          <w:szCs w:val="20"/>
        </w:rPr>
      </w:pPr>
      <w:r>
        <w:rPr>
          <w:rFonts w:ascii="Verdana" w:hAnsi="Verdana"/>
          <w:sz w:val="20"/>
          <w:szCs w:val="20"/>
        </w:rPr>
      </w:r>
    </w:p>
    <w:p>
      <w:pPr>
        <w:pStyle w:val="ListParagraph"/>
        <w:tabs>
          <w:tab w:val="clear" w:pos="720"/>
          <w:tab w:val="left" w:pos="850" w:leader="none"/>
        </w:tabs>
        <w:spacing w:lineRule="auto" w:line="276" w:before="57" w:after="57"/>
        <w:ind w:hanging="0" w:left="0" w:right="0"/>
        <w:contextualSpacing w:val="false"/>
        <w:jc w:val="both"/>
        <w:rPr/>
      </w:pPr>
      <w:r>
        <w:rPr>
          <w:rFonts w:cs="Arial" w:ascii="Verdana" w:hAnsi="Verdana"/>
          <w:b/>
          <w:bCs/>
          <w:sz w:val="20"/>
          <w:szCs w:val="20"/>
        </w:rPr>
        <w:t>14 DO TERMO DE CONTRATO</w:t>
      </w:r>
    </w:p>
    <w:p>
      <w:pPr>
        <w:pStyle w:val="ListParagraph"/>
        <w:tabs>
          <w:tab w:val="clear" w:pos="720"/>
          <w:tab w:val="left" w:pos="850" w:leader="none"/>
        </w:tabs>
        <w:spacing w:lineRule="auto" w:line="276" w:before="57" w:after="57"/>
        <w:ind w:hanging="0" w:left="0" w:right="0"/>
        <w:contextualSpacing w:val="false"/>
        <w:jc w:val="both"/>
        <w:rPr/>
      </w:pPr>
      <w:r>
        <w:rPr>
          <w:rFonts w:cs="Arial" w:ascii="Verdana" w:hAnsi="Verdana"/>
          <w:sz w:val="20"/>
          <w:szCs w:val="20"/>
        </w:rPr>
        <w:t>14.1</w:t>
      </w:r>
      <w:r>
        <w:rPr>
          <w:rFonts w:cs="Arial" w:ascii="Verdana" w:hAnsi="Verdana"/>
          <w:b/>
          <w:bCs/>
          <w:sz w:val="20"/>
          <w:szCs w:val="20"/>
        </w:rPr>
        <w:t xml:space="preserve"> </w:t>
      </w:r>
      <w:r>
        <w:rPr>
          <w:rFonts w:cs="Arial" w:ascii="Verdana" w:hAnsi="Verdana"/>
          <w:bCs/>
          <w:sz w:val="20"/>
          <w:szCs w:val="20"/>
        </w:rPr>
        <w:t>Após a homologação da licitação, em sendo realizada a contratação, será firmado Termo de Contrato ou emitido instrumento equivalente.</w:t>
      </w:r>
    </w:p>
    <w:p>
      <w:pPr>
        <w:pStyle w:val="ListParagraph"/>
        <w:tabs>
          <w:tab w:val="clear" w:pos="720"/>
          <w:tab w:val="left" w:pos="850" w:leader="none"/>
        </w:tabs>
        <w:spacing w:lineRule="auto" w:line="276" w:before="57" w:after="57"/>
        <w:ind w:hanging="0" w:left="0" w:right="0"/>
        <w:contextualSpacing w:val="false"/>
        <w:jc w:val="both"/>
        <w:rPr/>
      </w:pPr>
      <w:r>
        <w:rPr>
          <w:rFonts w:cs="Arial" w:ascii="Verdana" w:hAnsi="Verdana"/>
          <w:sz w:val="20"/>
          <w:szCs w:val="20"/>
        </w:rPr>
        <w:t>14.2</w:t>
      </w:r>
      <w:r>
        <w:rPr>
          <w:rFonts w:cs="Arial" w:ascii="Verdana" w:hAnsi="Verdana"/>
          <w:b/>
          <w:bCs/>
          <w:sz w:val="20"/>
          <w:szCs w:val="20"/>
        </w:rPr>
        <w:t xml:space="preserve"> </w:t>
      </w:r>
      <w:r>
        <w:rPr>
          <w:rFonts w:cs="Arial" w:ascii="Verdana" w:hAnsi="Verdana"/>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pPr>
        <w:pStyle w:val="ListParagraph"/>
        <w:tabs>
          <w:tab w:val="clear" w:pos="720"/>
          <w:tab w:val="left" w:pos="850" w:leader="none"/>
        </w:tabs>
        <w:spacing w:lineRule="auto" w:line="276" w:before="57" w:after="57"/>
        <w:ind w:hanging="0" w:left="0" w:right="0"/>
        <w:contextualSpacing w:val="false"/>
        <w:jc w:val="both"/>
        <w:rPr/>
      </w:pPr>
      <w:r>
        <w:rPr>
          <w:rFonts w:cs="Arial" w:ascii="Verdana" w:hAnsi="Verdana"/>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pPr>
        <w:pStyle w:val="ListParagraph"/>
        <w:tabs>
          <w:tab w:val="clear" w:pos="720"/>
          <w:tab w:val="left" w:pos="850" w:leader="none"/>
        </w:tabs>
        <w:spacing w:lineRule="auto" w:line="276" w:before="57" w:after="57"/>
        <w:ind w:hanging="0" w:left="0" w:right="0"/>
        <w:contextualSpacing w:val="false"/>
        <w:jc w:val="both"/>
        <w:rPr/>
      </w:pPr>
      <w:r>
        <w:rPr>
          <w:rFonts w:cs="Arial" w:ascii="Verdana" w:hAnsi="Verdana"/>
          <w:iCs/>
          <w:sz w:val="20"/>
          <w:szCs w:val="20"/>
        </w:rPr>
        <w:t>14.2.2 O prazo previsto no subitem anterior poderá ser prorrogado, por igual período, por solicitação justificada do adjudicatário e aceita pela Administração.</w:t>
      </w:r>
    </w:p>
    <w:p>
      <w:pPr>
        <w:pStyle w:val="ListParagraph"/>
        <w:tabs>
          <w:tab w:val="clear" w:pos="720"/>
          <w:tab w:val="left" w:pos="850" w:leader="none"/>
        </w:tabs>
        <w:spacing w:lineRule="auto" w:line="276" w:before="57" w:after="57"/>
        <w:ind w:hanging="0" w:left="0" w:right="0"/>
        <w:contextualSpacing w:val="false"/>
        <w:jc w:val="both"/>
        <w:rPr/>
      </w:pPr>
      <w:r>
        <w:rPr>
          <w:rFonts w:cs="Arial" w:ascii="Verdana" w:hAnsi="Verdana"/>
          <w:iCs/>
          <w:sz w:val="20"/>
          <w:szCs w:val="20"/>
        </w:rPr>
        <w:t>14.3</w:t>
      </w:r>
      <w:r>
        <w:rPr>
          <w:rFonts w:cs="Arial" w:ascii="Verdana" w:hAnsi="Verdana"/>
          <w:b/>
          <w:bCs/>
          <w:iCs/>
          <w:sz w:val="20"/>
          <w:szCs w:val="20"/>
        </w:rPr>
        <w:t xml:space="preserve"> </w:t>
      </w:r>
      <w:r>
        <w:rPr>
          <w:rFonts w:cs="Arial" w:ascii="Verdana" w:hAnsi="Verdana"/>
          <w:bCs/>
          <w:iCs/>
          <w:sz w:val="20"/>
          <w:szCs w:val="20"/>
        </w:rPr>
        <w:t>O Aceite da Nota de Empenho ou do instrumento equivalente, emitida à empresa adjudicada, implica no reconhecimento de que:</w:t>
      </w:r>
    </w:p>
    <w:p>
      <w:pPr>
        <w:pStyle w:val="ListParagraph"/>
        <w:tabs>
          <w:tab w:val="clear" w:pos="720"/>
          <w:tab w:val="left" w:pos="850" w:leader="none"/>
        </w:tabs>
        <w:spacing w:lineRule="auto" w:line="276" w:before="57" w:after="57"/>
        <w:ind w:hanging="0" w:left="0" w:right="0"/>
        <w:contextualSpacing w:val="false"/>
        <w:jc w:val="both"/>
        <w:rPr/>
      </w:pPr>
      <w:r>
        <w:rPr>
          <w:rFonts w:cs="Arial" w:ascii="Verdana" w:hAnsi="Verdana"/>
          <w:bCs/>
          <w:iCs/>
          <w:sz w:val="20"/>
          <w:szCs w:val="20"/>
        </w:rPr>
        <w:t>14.3.1 Referida Nota está substituindo o contrato, aplicando-se à relação de negócios ali estabelecida as disposições da Lei nº 14.133, de 2021;</w:t>
      </w:r>
    </w:p>
    <w:p>
      <w:pPr>
        <w:pStyle w:val="ListParagraph"/>
        <w:tabs>
          <w:tab w:val="clear" w:pos="720"/>
          <w:tab w:val="left" w:pos="850" w:leader="none"/>
        </w:tabs>
        <w:spacing w:lineRule="auto" w:line="276" w:before="57" w:after="57"/>
        <w:ind w:hanging="0" w:left="0" w:right="0"/>
        <w:contextualSpacing w:val="false"/>
        <w:jc w:val="both"/>
        <w:rPr/>
      </w:pPr>
      <w:r>
        <w:rPr>
          <w:rFonts w:cs="Arial" w:ascii="Verdana" w:hAnsi="Verdana"/>
          <w:bCs/>
          <w:iCs/>
          <w:sz w:val="20"/>
          <w:szCs w:val="20"/>
        </w:rPr>
        <w:t>14.3.2 A contratada se vincula à sua proposta e às previsões contidas no edital e seus anexos;</w:t>
      </w:r>
    </w:p>
    <w:p>
      <w:pPr>
        <w:pStyle w:val="ListParagraph"/>
        <w:tabs>
          <w:tab w:val="clear" w:pos="720"/>
          <w:tab w:val="left" w:pos="850" w:leader="none"/>
        </w:tabs>
        <w:spacing w:lineRule="auto" w:line="276" w:before="57" w:after="57"/>
        <w:ind w:hanging="0" w:left="0" w:right="0"/>
        <w:contextualSpacing w:val="false"/>
        <w:jc w:val="both"/>
        <w:rPr/>
      </w:pPr>
      <w:r>
        <w:rPr>
          <w:rFonts w:cs="Arial" w:ascii="Verdana" w:hAnsi="Verdana"/>
          <w:bCs/>
          <w:iCs/>
          <w:sz w:val="20"/>
          <w:szCs w:val="20"/>
        </w:rPr>
        <w:t xml:space="preserve">14.3.3 A contratada reconhece que as hipóteses de rescisão são aquelas previstas nos artigos 137, 155, 156 da Lei nº 14.133/2021 e reconhece os direitos da Administração previstos nos artigos 138 e 139 da mesma Lei. </w:t>
      </w:r>
    </w:p>
    <w:p>
      <w:pPr>
        <w:pStyle w:val="ListParagraph"/>
        <w:tabs>
          <w:tab w:val="clear" w:pos="720"/>
          <w:tab w:val="left" w:pos="850" w:leader="none"/>
        </w:tabs>
        <w:spacing w:lineRule="auto" w:line="276" w:before="57" w:after="57"/>
        <w:ind w:hanging="0" w:left="0" w:right="0"/>
        <w:contextualSpacing w:val="false"/>
        <w:jc w:val="both"/>
        <w:rPr/>
      </w:pPr>
      <w:r>
        <w:rPr>
          <w:rFonts w:cs="Arial" w:ascii="Verdana" w:hAnsi="Verdana"/>
          <w:sz w:val="20"/>
          <w:szCs w:val="20"/>
        </w:rPr>
        <w:t>14.4</w:t>
      </w:r>
      <w:r>
        <w:rPr>
          <w:rFonts w:cs="Arial" w:ascii="Verdana" w:hAnsi="Verdana"/>
          <w:b/>
          <w:bCs/>
          <w:sz w:val="20"/>
          <w:szCs w:val="20"/>
        </w:rPr>
        <w:t xml:space="preserve"> </w:t>
      </w:r>
      <w:r>
        <w:rPr>
          <w:rFonts w:cs="Arial" w:ascii="Verdana" w:hAnsi="Verdana"/>
          <w:bCs/>
          <w:sz w:val="20"/>
          <w:szCs w:val="20"/>
        </w:rPr>
        <w:t>O prazo de vigência da contratação é de 12 (doze) meses, prorrogável conforme previsão no instrumento contratual.</w:t>
      </w:r>
    </w:p>
    <w:p>
      <w:pPr>
        <w:pStyle w:val="ListParagraph"/>
        <w:tabs>
          <w:tab w:val="clear" w:pos="720"/>
          <w:tab w:val="left" w:pos="850" w:leader="none"/>
        </w:tabs>
        <w:spacing w:lineRule="auto" w:line="276" w:before="57" w:after="57"/>
        <w:ind w:hanging="0" w:left="0" w:right="0"/>
        <w:contextualSpacing w:val="false"/>
        <w:jc w:val="both"/>
        <w:rPr/>
      </w:pPr>
      <w:r>
        <w:rPr>
          <w:rFonts w:cs="Arial" w:ascii="Verdana" w:hAnsi="Verdana"/>
          <w:sz w:val="20"/>
          <w:szCs w:val="20"/>
        </w:rPr>
        <w:t>14.5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pPr>
        <w:pStyle w:val="ListParagraph"/>
        <w:tabs>
          <w:tab w:val="clear" w:pos="720"/>
          <w:tab w:val="left" w:pos="850" w:leader="none"/>
        </w:tabs>
        <w:spacing w:lineRule="auto" w:line="276" w:before="57" w:after="57"/>
        <w:ind w:hanging="0" w:left="0" w:right="0"/>
        <w:contextualSpacing w:val="false"/>
        <w:jc w:val="both"/>
        <w:rPr/>
      </w:pPr>
      <w:r>
        <w:rPr>
          <w:rFonts w:cs="Arial" w:ascii="Verdana" w:hAnsi="Verdana"/>
          <w:sz w:val="20"/>
          <w:szCs w:val="20"/>
        </w:rPr>
        <w:t>14.5.1 Nos casos em que houver necessidade de assinatura do instrumento de contrato, e o fornecedor não estiver inscrito no SICAF, este deverá proceder ao seu cadastramento, sem ônus, antes da contratação.</w:t>
      </w:r>
    </w:p>
    <w:p>
      <w:pPr>
        <w:pStyle w:val="ListParagraph"/>
        <w:tabs>
          <w:tab w:val="clear" w:pos="720"/>
          <w:tab w:val="left" w:pos="850" w:leader="none"/>
        </w:tabs>
        <w:spacing w:lineRule="auto" w:line="276" w:before="57" w:after="57"/>
        <w:ind w:hanging="0" w:left="0" w:right="0"/>
        <w:contextualSpacing w:val="false"/>
        <w:jc w:val="both"/>
        <w:rPr/>
      </w:pPr>
      <w:r>
        <w:rPr>
          <w:rFonts w:cs="Arial" w:ascii="Verdana" w:hAnsi="Verdana"/>
          <w:sz w:val="20"/>
          <w:szCs w:val="20"/>
        </w:rPr>
        <w:t>14.5.2 Na hipótese de irregularidade do registro no SICAF, o contratado deverá regularizar a sua situação perante o cadastro no prazo de até 05 (cinco) dias úteis, sob pena de aplicação das penalidades previstas no edital e anexos.</w:t>
      </w:r>
    </w:p>
    <w:p>
      <w:pPr>
        <w:pStyle w:val="ListParagraph"/>
        <w:tabs>
          <w:tab w:val="clear" w:pos="720"/>
          <w:tab w:val="left" w:pos="850" w:leader="none"/>
        </w:tabs>
        <w:spacing w:lineRule="auto" w:line="276" w:before="57" w:after="57"/>
        <w:ind w:hanging="0" w:left="0" w:right="0"/>
        <w:contextualSpacing w:val="false"/>
        <w:jc w:val="both"/>
        <w:rPr/>
      </w:pPr>
      <w:r>
        <w:rPr>
          <w:rFonts w:cs="Arial" w:ascii="Verdana" w:hAnsi="Verdana"/>
          <w:sz w:val="20"/>
          <w:szCs w:val="20"/>
        </w:rPr>
        <w:t>14.6 Na assinatura do contrato ou da ata de registro de preços, será exigida a comprovação das condições de habilitação consignadas no edital, que deverão ser mantidas pelo licitante durante a vigência do contrato ou da ata de registro de preços.</w:t>
      </w:r>
    </w:p>
    <w:p>
      <w:pPr>
        <w:pStyle w:val="ListParagraph"/>
        <w:tabs>
          <w:tab w:val="clear" w:pos="720"/>
          <w:tab w:val="left" w:pos="850" w:leader="none"/>
        </w:tabs>
        <w:spacing w:lineRule="auto" w:line="276" w:before="57" w:after="57"/>
        <w:ind w:hanging="0" w:left="0" w:right="0"/>
        <w:contextualSpacing w:val="false"/>
        <w:jc w:val="both"/>
        <w:rPr/>
      </w:pPr>
      <w:r>
        <w:rPr>
          <w:rFonts w:cs="Arial" w:ascii="Verdana" w:hAnsi="Verdana"/>
          <w:sz w:val="20"/>
          <w:szCs w:val="20"/>
        </w:rPr>
        <w:t>14.7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pPr>
        <w:pStyle w:val="Normal"/>
        <w:spacing w:lineRule="auto" w:line="276" w:before="57" w:after="57"/>
        <w:ind w:hanging="0" w:left="0" w:right="0"/>
        <w:rPr>
          <w:rFonts w:ascii="Verdana" w:hAnsi="Verdana"/>
          <w:sz w:val="20"/>
          <w:szCs w:val="20"/>
        </w:rPr>
      </w:pPr>
      <w:r>
        <w:rPr>
          <w:rFonts w:ascii="Verdana" w:hAnsi="Verdana"/>
          <w:sz w:val="20"/>
          <w:szCs w:val="20"/>
        </w:rPr>
      </w:r>
    </w:p>
    <w:p>
      <w:pPr>
        <w:pStyle w:val="Nivel01"/>
        <w:spacing w:lineRule="auto" w:line="276" w:before="57" w:after="57"/>
        <w:ind w:hanging="0" w:left="0" w:right="0"/>
        <w:rPr/>
      </w:pPr>
      <w:r>
        <w:rPr>
          <w:rFonts w:cs="Arial" w:ascii="Verdana" w:hAnsi="Verdana"/>
          <w:sz w:val="20"/>
          <w:szCs w:val="20"/>
        </w:rPr>
        <w:t>15. DO REAJUSTAMENTO EM SENTIDO GERAL</w:t>
      </w:r>
    </w:p>
    <w:p>
      <w:pPr>
        <w:pStyle w:val="ListParagraph"/>
        <w:spacing w:lineRule="auto" w:line="276" w:before="57" w:after="57"/>
        <w:ind w:hanging="0" w:left="0" w:right="0"/>
        <w:contextualSpacing w:val="false"/>
        <w:jc w:val="both"/>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Normal"/>
        <w:spacing w:lineRule="auto" w:line="276" w:before="57" w:after="57"/>
        <w:ind w:hanging="0" w:left="0" w:right="0"/>
        <w:rPr>
          <w:rFonts w:ascii="Verdana" w:hAnsi="Verdana"/>
          <w:sz w:val="20"/>
          <w:szCs w:val="20"/>
        </w:rPr>
      </w:pPr>
      <w:r>
        <w:rPr>
          <w:rFonts w:ascii="Verdana" w:hAnsi="Verdana"/>
          <w:sz w:val="20"/>
          <w:szCs w:val="20"/>
        </w:rPr>
      </w:r>
    </w:p>
    <w:p>
      <w:pPr>
        <w:pStyle w:val="Nivel01"/>
        <w:spacing w:lineRule="auto" w:line="276" w:before="57" w:after="57"/>
        <w:ind w:hanging="0" w:left="0" w:right="0"/>
        <w:rPr/>
      </w:pPr>
      <w:r>
        <w:rPr>
          <w:rFonts w:cs="Arial" w:ascii="Verdana" w:hAnsi="Verdana"/>
          <w:sz w:val="20"/>
          <w:szCs w:val="20"/>
        </w:rPr>
        <w:t>16. DA ACEITAÇÃO DO OBJETO E DA FISCALIZAÇÃO</w:t>
      </w:r>
    </w:p>
    <w:p>
      <w:pPr>
        <w:pStyle w:val="ListParagraph"/>
        <w:spacing w:lineRule="auto" w:line="276" w:before="57" w:after="57"/>
        <w:ind w:hanging="0" w:left="0" w:right="0"/>
        <w:contextualSpacing w:val="false"/>
        <w:jc w:val="both"/>
        <w:rPr/>
      </w:pPr>
      <w:r>
        <w:rPr>
          <w:rFonts w:cs="Arial" w:ascii="Verdana" w:hAnsi="Verdana"/>
          <w:color w:val="000000"/>
          <w:sz w:val="20"/>
          <w:szCs w:val="20"/>
          <w:lang w:eastAsia="en-US"/>
        </w:rPr>
        <w:t>16.1 Os critérios de recebimento e aceitação do objeto e de fiscalização estão previstos no Termo de Referência e Minuta de Contrato anexo a este edital.</w:t>
      </w:r>
    </w:p>
    <w:p>
      <w:pPr>
        <w:pStyle w:val="Normal"/>
        <w:spacing w:lineRule="auto" w:line="276" w:before="57" w:after="57"/>
        <w:ind w:hanging="0" w:left="0" w:right="0"/>
        <w:rPr>
          <w:rFonts w:ascii="Verdana" w:hAnsi="Verdana"/>
          <w:sz w:val="20"/>
          <w:szCs w:val="20"/>
        </w:rPr>
      </w:pPr>
      <w:r>
        <w:rPr>
          <w:rFonts w:ascii="Verdana" w:hAnsi="Verdana"/>
          <w:sz w:val="20"/>
          <w:szCs w:val="20"/>
        </w:rPr>
      </w:r>
    </w:p>
    <w:p>
      <w:pPr>
        <w:pStyle w:val="Nivel01"/>
        <w:spacing w:lineRule="auto" w:line="276" w:before="57" w:after="57"/>
        <w:ind w:hanging="0" w:left="0" w:right="0"/>
        <w:rPr/>
      </w:pPr>
      <w:r>
        <w:rPr>
          <w:rFonts w:cs="Arial" w:ascii="Verdana" w:hAnsi="Verdana"/>
          <w:sz w:val="20"/>
          <w:szCs w:val="20"/>
          <w:lang w:eastAsia="en-US"/>
        </w:rPr>
        <w:t>17. DAS OBRIGAÇÕES DA CONTRATANTE E DA CONTRATADA</w:t>
      </w:r>
    </w:p>
    <w:p>
      <w:pPr>
        <w:pStyle w:val="ListParagraph"/>
        <w:spacing w:lineRule="auto" w:line="276" w:before="57" w:after="57"/>
        <w:ind w:hanging="0" w:left="0" w:right="0"/>
        <w:contextualSpacing w:val="false"/>
        <w:jc w:val="both"/>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e Minuta de Contrato anexo a este edital.</w:t>
      </w:r>
    </w:p>
    <w:p>
      <w:pPr>
        <w:pStyle w:val="Normal"/>
        <w:spacing w:lineRule="auto" w:line="276" w:before="57" w:after="57"/>
        <w:ind w:hanging="0" w:left="0" w:right="0"/>
        <w:rPr>
          <w:rFonts w:ascii="Verdana" w:hAnsi="Verdana"/>
          <w:sz w:val="20"/>
          <w:szCs w:val="20"/>
        </w:rPr>
      </w:pPr>
      <w:r>
        <w:rPr>
          <w:rFonts w:ascii="Verdana" w:hAnsi="Verdana"/>
          <w:sz w:val="20"/>
          <w:szCs w:val="20"/>
        </w:rPr>
      </w:r>
    </w:p>
    <w:p>
      <w:pPr>
        <w:pStyle w:val="Nivel01"/>
        <w:spacing w:lineRule="auto" w:line="276" w:before="57" w:after="57"/>
        <w:ind w:hanging="0" w:left="0" w:right="0"/>
        <w:rPr/>
      </w:pPr>
      <w:r>
        <w:rPr>
          <w:rFonts w:cs="Tahoma" w:ascii="Verdana" w:hAnsi="Verdana"/>
          <w:color w:val="auto"/>
          <w:sz w:val="20"/>
          <w:szCs w:val="20"/>
        </w:rPr>
        <w:t>18</w:t>
      </w:r>
      <w:r>
        <w:rPr>
          <w:rFonts w:cs="Arial" w:ascii="Verdana" w:hAnsi="Verdana"/>
          <w:sz w:val="20"/>
          <w:szCs w:val="20"/>
        </w:rPr>
        <w:t>. DO PAGAMENTO</w:t>
      </w:r>
    </w:p>
    <w:p>
      <w:pPr>
        <w:pStyle w:val="ListParagraph"/>
        <w:spacing w:lineRule="auto" w:line="276" w:before="57" w:after="57"/>
        <w:ind w:hanging="0" w:left="0" w:right="0"/>
        <w:contextualSpacing w:val="false"/>
        <w:jc w:val="both"/>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regras acerca do pagamento são as estabelecidas no Termo de Referência e Minuta de Contrato anexo a este edital.</w:t>
      </w:r>
    </w:p>
    <w:p>
      <w:pPr>
        <w:pStyle w:val="Normal"/>
        <w:spacing w:lineRule="auto" w:line="276" w:before="57" w:after="57"/>
        <w:ind w:hanging="0" w:left="0" w:right="0"/>
        <w:rPr>
          <w:rFonts w:ascii="Verdana" w:hAnsi="Verdana"/>
          <w:sz w:val="20"/>
          <w:szCs w:val="20"/>
        </w:rPr>
      </w:pPr>
      <w:r>
        <w:rPr>
          <w:rFonts w:ascii="Verdana" w:hAnsi="Verdana"/>
          <w:sz w:val="20"/>
          <w:szCs w:val="20"/>
        </w:rPr>
      </w:r>
    </w:p>
    <w:p>
      <w:pPr>
        <w:pStyle w:val="ListParagraph"/>
        <w:spacing w:lineRule="auto" w:line="276" w:before="57" w:after="57"/>
        <w:ind w:hanging="0" w:left="0" w:right="0"/>
        <w:contextualSpacing w:val="false"/>
        <w:jc w:val="both"/>
        <w:rPr/>
      </w:pPr>
      <w:r>
        <w:rPr>
          <w:rFonts w:cs="Arial" w:ascii="Verdana" w:hAnsi="Verdana"/>
          <w:b/>
          <w:bCs/>
          <w:color w:val="000000"/>
          <w:sz w:val="20"/>
          <w:szCs w:val="20"/>
          <w:lang w:eastAsia="en-US"/>
        </w:rPr>
        <w:t>19. DA CONTA DEPÓSITO VINCULADA ― BLOQUEADA PARA MOVIMENTAÇÃO</w:t>
      </w:r>
    </w:p>
    <w:p>
      <w:pPr>
        <w:pStyle w:val="ListParagraph"/>
        <w:spacing w:lineRule="auto" w:line="276" w:before="57" w:after="57"/>
        <w:ind w:hanging="0" w:left="0" w:right="0"/>
        <w:contextualSpacing w:val="false"/>
        <w:jc w:val="both"/>
        <w:rPr/>
      </w:pPr>
      <w:r>
        <w:rPr>
          <w:rFonts w:cs="Arial" w:ascii="Verdana" w:hAnsi="Verdana"/>
          <w:color w:val="000000"/>
          <w:sz w:val="20"/>
          <w:szCs w:val="20"/>
          <w:lang w:eastAsia="en-US"/>
        </w:rPr>
        <w:t>19.1 Para atendimento ao disposto no art. 18 da IN SEGES/MP N. 5/2017, as regras acerca da Conta depósito Vinculada – bloqueada para movimentação a que se refere o Anexo XII da IN SEGES/MP n. 5/2017 são as estabelecidas no Termo de Referência, anexo a este Edital.</w:t>
      </w:r>
    </w:p>
    <w:p>
      <w:pPr>
        <w:pStyle w:val="Normal"/>
        <w:spacing w:lineRule="auto" w:line="276" w:before="57" w:after="57"/>
        <w:ind w:hanging="0" w:left="0" w:right="0"/>
        <w:rPr>
          <w:rFonts w:ascii="Verdana" w:hAnsi="Verdana"/>
          <w:sz w:val="20"/>
          <w:szCs w:val="20"/>
        </w:rPr>
      </w:pPr>
      <w:r>
        <w:rPr>
          <w:rFonts w:ascii="Verdana" w:hAnsi="Verdana"/>
          <w:sz w:val="20"/>
          <w:szCs w:val="20"/>
        </w:rPr>
      </w:r>
    </w:p>
    <w:p>
      <w:pPr>
        <w:pStyle w:val="Nivel01"/>
        <w:spacing w:lineRule="auto" w:line="276" w:before="57" w:after="57"/>
        <w:ind w:hanging="0" w:left="0" w:right="0"/>
        <w:rPr/>
      </w:pPr>
      <w:r>
        <w:rPr>
          <w:rFonts w:cs="Arial" w:ascii="Verdana" w:hAnsi="Verdana"/>
          <w:sz w:val="20"/>
          <w:szCs w:val="20"/>
        </w:rPr>
        <w:t>20. DAS SANÇÕES ADMINISTRATIVAS.</w:t>
      </w:r>
    </w:p>
    <w:p>
      <w:pPr>
        <w:pStyle w:val="ListParagraph"/>
        <w:spacing w:lineRule="auto" w:line="276" w:before="57" w:after="57"/>
        <w:ind w:hanging="0" w:left="0" w:right="0"/>
        <w:contextualSpacing w:val="false"/>
        <w:jc w:val="both"/>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20"/>
          <w:tab w:val="left" w:pos="850" w:leader="none"/>
          <w:tab w:val="left" w:pos="1440" w:leader="none"/>
        </w:tabs>
        <w:snapToGrid w:val="false"/>
        <w:spacing w:lineRule="auto" w:line="276" w:before="57" w:after="57"/>
        <w:ind w:hanging="0" w:left="0" w:right="0"/>
        <w:jc w:val="both"/>
        <w:rPr/>
      </w:pPr>
      <w:r>
        <w:rPr>
          <w:rFonts w:cs="Arial" w:ascii="Verdana" w:hAnsi="Verdana"/>
          <w:sz w:val="20"/>
          <w:szCs w:val="20"/>
          <w:shd w:fill="FFFFFF" w:val="clear"/>
        </w:rPr>
        <w:t>20.1.1 D</w:t>
      </w:r>
      <w:bookmarkStart w:id="10"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0"/>
    </w:p>
    <w:p>
      <w:pPr>
        <w:pStyle w:val="Normal"/>
        <w:tabs>
          <w:tab w:val="clear" w:pos="720"/>
          <w:tab w:val="left" w:pos="850" w:leader="none"/>
          <w:tab w:val="left" w:pos="1440" w:leader="none"/>
        </w:tabs>
        <w:snapToGrid w:val="false"/>
        <w:spacing w:lineRule="auto" w:line="276" w:before="57" w:after="57"/>
        <w:ind w:hanging="0" w:left="0" w:right="0"/>
        <w:jc w:val="both"/>
        <w:rPr/>
      </w:pPr>
      <w:r>
        <w:rPr>
          <w:rFonts w:cs="Arial" w:ascii="Verdana" w:hAnsi="Verdana"/>
          <w:sz w:val="20"/>
          <w:szCs w:val="20"/>
          <w:shd w:fill="FFFFFF" w:val="clear"/>
        </w:rPr>
        <w:t xml:space="preserve">20.1.2 </w:t>
      </w:r>
      <w:bookmarkStart w:id="11" w:name="_Ref114668108"/>
      <w:r>
        <w:rPr>
          <w:rFonts w:cs="Arial" w:ascii="Verdana" w:hAnsi="Verdana"/>
          <w:sz w:val="20"/>
          <w:szCs w:val="20"/>
          <w:shd w:fill="FFFFFF" w:val="clear"/>
        </w:rPr>
        <w:t>Salvo em decorrência de fato superveniente devidamente justificado, não mantiver a proposta em especial quando:</w:t>
      </w:r>
      <w:bookmarkEnd w:id="11"/>
    </w:p>
    <w:p>
      <w:pPr>
        <w:pStyle w:val="Normal"/>
        <w:tabs>
          <w:tab w:val="clear" w:pos="720"/>
          <w:tab w:val="left" w:pos="850" w:leader="none"/>
          <w:tab w:val="left" w:pos="1440" w:leader="none"/>
        </w:tabs>
        <w:snapToGrid w:val="false"/>
        <w:spacing w:lineRule="auto" w:line="276" w:before="57" w:after="57"/>
        <w:ind w:hanging="0" w:left="0" w:right="0"/>
        <w:jc w:val="both"/>
        <w:rPr/>
      </w:pPr>
      <w:r>
        <w:rPr>
          <w:rFonts w:cs="Arial" w:ascii="Verdana" w:hAnsi="Verdana"/>
          <w:sz w:val="20"/>
          <w:szCs w:val="20"/>
          <w:shd w:fill="FFFFFF" w:val="clear"/>
        </w:rPr>
        <w:t>20.1.2.1 Não enviar a proposta adequada ao último lance ofertado ou após a negociação;</w:t>
      </w:r>
    </w:p>
    <w:p>
      <w:pPr>
        <w:pStyle w:val="Normal"/>
        <w:tabs>
          <w:tab w:val="clear" w:pos="720"/>
          <w:tab w:val="left" w:pos="850" w:leader="none"/>
          <w:tab w:val="left" w:pos="1440" w:leader="none"/>
        </w:tabs>
        <w:snapToGrid w:val="false"/>
        <w:spacing w:lineRule="auto" w:line="276" w:before="57" w:after="57"/>
        <w:ind w:hanging="0" w:left="0" w:right="0"/>
        <w:jc w:val="both"/>
        <w:rPr/>
      </w:pPr>
      <w:r>
        <w:rPr>
          <w:rFonts w:cs="Arial" w:ascii="Verdana" w:hAnsi="Verdana"/>
          <w:sz w:val="20"/>
          <w:szCs w:val="20"/>
          <w:shd w:fill="FFFFFF" w:val="clear"/>
        </w:rPr>
        <w:t>20.1.2.2 Recusar-se a enviar o detalhamento da proposta quando exigível;</w:t>
      </w:r>
    </w:p>
    <w:p>
      <w:pPr>
        <w:pStyle w:val="Normal"/>
        <w:tabs>
          <w:tab w:val="clear" w:pos="720"/>
          <w:tab w:val="left" w:pos="850" w:leader="none"/>
          <w:tab w:val="left" w:pos="1440" w:leader="none"/>
        </w:tabs>
        <w:snapToGrid w:val="false"/>
        <w:spacing w:lineRule="auto" w:line="276" w:before="57" w:after="57"/>
        <w:ind w:hanging="0" w:left="0" w:right="0"/>
        <w:jc w:val="both"/>
        <w:rPr/>
      </w:pPr>
      <w:r>
        <w:rPr>
          <w:rFonts w:cs="Arial" w:ascii="Verdana" w:hAnsi="Verdana"/>
          <w:sz w:val="20"/>
          <w:szCs w:val="20"/>
        </w:rPr>
        <w:t xml:space="preserve">20.1.2.3 Pedir para ser desclassificado quando encerrada a etapa competitiva; ou </w:t>
      </w:r>
    </w:p>
    <w:p>
      <w:pPr>
        <w:pStyle w:val="Normal"/>
        <w:tabs>
          <w:tab w:val="clear" w:pos="720"/>
          <w:tab w:val="left" w:pos="850" w:leader="none"/>
          <w:tab w:val="left" w:pos="1440" w:leader="none"/>
        </w:tabs>
        <w:snapToGrid w:val="false"/>
        <w:spacing w:lineRule="auto" w:line="276" w:before="57" w:after="57"/>
        <w:ind w:hanging="0" w:left="0" w:right="0"/>
        <w:jc w:val="both"/>
        <w:rPr/>
      </w:pPr>
      <w:r>
        <w:rPr>
          <w:rFonts w:cs="Arial" w:ascii="Verdana" w:hAnsi="Verdana"/>
          <w:sz w:val="20"/>
          <w:szCs w:val="20"/>
          <w:shd w:fill="FFFFFF" w:val="clear"/>
        </w:rPr>
        <w:t>20.1.2.4 Deixar de apresentar amostra;</w:t>
      </w:r>
    </w:p>
    <w:p>
      <w:pPr>
        <w:pStyle w:val="Normal"/>
        <w:tabs>
          <w:tab w:val="clear" w:pos="720"/>
          <w:tab w:val="left" w:pos="850" w:leader="none"/>
          <w:tab w:val="left" w:pos="1440" w:leader="none"/>
        </w:tabs>
        <w:snapToGrid w:val="false"/>
        <w:spacing w:lineRule="auto" w:line="276" w:before="57" w:after="57"/>
        <w:ind w:hanging="0" w:left="0" w:right="0"/>
        <w:jc w:val="both"/>
        <w:rPr/>
      </w:pPr>
      <w:r>
        <w:rPr>
          <w:rFonts w:cs="Arial" w:ascii="Verdana" w:hAnsi="Verdana"/>
          <w:sz w:val="20"/>
          <w:szCs w:val="20"/>
          <w:shd w:fill="FFFFFF" w:val="clear"/>
        </w:rPr>
        <w:t>20.1.2.5 Apresentar proposta ou amostra em desacordo com as especificações do edital;</w:t>
      </w:r>
    </w:p>
    <w:p>
      <w:pPr>
        <w:pStyle w:val="Normal"/>
        <w:tabs>
          <w:tab w:val="clear" w:pos="720"/>
          <w:tab w:val="left" w:pos="850" w:leader="none"/>
          <w:tab w:val="left" w:pos="1440" w:leader="none"/>
        </w:tabs>
        <w:snapToGrid w:val="false"/>
        <w:spacing w:lineRule="auto" w:line="276" w:before="57" w:after="57"/>
        <w:ind w:hanging="0" w:left="0" w:right="0"/>
        <w:jc w:val="both"/>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before="57" w:after="57"/>
        <w:ind w:hanging="0" w:left="0" w:right="0"/>
        <w:jc w:val="both"/>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before="57" w:after="57"/>
        <w:ind w:hanging="0" w:left="0" w:right="0"/>
        <w:jc w:val="both"/>
        <w:rPr/>
      </w:pPr>
      <w:r>
        <w:rPr>
          <w:rFonts w:ascii="Verdana" w:hAnsi="Verdana"/>
          <w:sz w:val="20"/>
          <w:szCs w:val="20"/>
        </w:rPr>
        <w:t>20.1.4 A</w:t>
      </w:r>
      <w:bookmarkStart w:id="12" w:name="_Ref114668249"/>
      <w:r>
        <w:rPr>
          <w:rFonts w:ascii="Verdana" w:hAnsi="Verdana"/>
          <w:sz w:val="20"/>
          <w:szCs w:val="20"/>
        </w:rPr>
        <w:t>presentar declaração ou documentação falsa exigida para o certame ou prestar declaração falsa durante a licitação</w:t>
      </w:r>
      <w:bookmarkEnd w:id="12"/>
    </w:p>
    <w:p>
      <w:pPr>
        <w:pStyle w:val="Normal"/>
        <w:spacing w:lineRule="auto" w:line="276" w:before="57" w:after="57"/>
        <w:ind w:hanging="0" w:left="0" w:right="0"/>
        <w:jc w:val="both"/>
        <w:rPr/>
      </w:pPr>
      <w:r>
        <w:rPr>
          <w:rFonts w:ascii="Verdana" w:hAnsi="Verdana"/>
          <w:sz w:val="20"/>
          <w:szCs w:val="20"/>
        </w:rPr>
        <w:t>20.1.5 F</w:t>
      </w:r>
      <w:bookmarkStart w:id="13" w:name="_Ref114668245"/>
      <w:r>
        <w:rPr>
          <w:rFonts w:ascii="Verdana" w:hAnsi="Verdana"/>
          <w:sz w:val="20"/>
          <w:szCs w:val="20"/>
        </w:rPr>
        <w:t>raudar a licitação</w:t>
      </w:r>
      <w:bookmarkEnd w:id="13"/>
    </w:p>
    <w:p>
      <w:pPr>
        <w:pStyle w:val="Normal"/>
        <w:spacing w:lineRule="auto" w:line="276" w:before="57" w:after="57"/>
        <w:ind w:hanging="0" w:left="0" w:right="0"/>
        <w:jc w:val="both"/>
        <w:rPr/>
      </w:pPr>
      <w:r>
        <w:rPr>
          <w:rFonts w:ascii="Verdana" w:hAnsi="Verdana"/>
          <w:sz w:val="20"/>
          <w:szCs w:val="20"/>
        </w:rPr>
        <w:t>20.1.6 C</w:t>
      </w:r>
      <w:bookmarkStart w:id="14" w:name="_Ref114668247"/>
      <w:r>
        <w:rPr>
          <w:rFonts w:ascii="Verdana" w:hAnsi="Verdana"/>
          <w:sz w:val="20"/>
          <w:szCs w:val="20"/>
        </w:rPr>
        <w:t>omportar-se de modo inidôneo ou cometer fraude de qualquer natureza, em especial quando:</w:t>
      </w:r>
      <w:bookmarkEnd w:id="14"/>
    </w:p>
    <w:p>
      <w:pPr>
        <w:pStyle w:val="Normal"/>
        <w:spacing w:lineRule="auto" w:line="276" w:before="57" w:after="57"/>
        <w:ind w:hanging="0" w:left="0" w:right="0"/>
        <w:jc w:val="both"/>
        <w:rPr/>
      </w:pPr>
      <w:r>
        <w:rPr>
          <w:rFonts w:ascii="Verdana" w:hAnsi="Verdana"/>
          <w:sz w:val="20"/>
          <w:szCs w:val="20"/>
        </w:rPr>
        <w:t>20.1.6.1 Agir em conluio ou em desconformidade com a lei;</w:t>
      </w:r>
    </w:p>
    <w:p>
      <w:pPr>
        <w:pStyle w:val="Normal"/>
        <w:spacing w:lineRule="auto" w:line="276" w:before="57" w:after="57"/>
        <w:ind w:hanging="0" w:left="0" w:right="0"/>
        <w:jc w:val="both"/>
        <w:rPr/>
      </w:pPr>
      <w:r>
        <w:rPr>
          <w:rFonts w:ascii="Verdana" w:hAnsi="Verdana"/>
          <w:sz w:val="20"/>
          <w:szCs w:val="20"/>
        </w:rPr>
        <w:t>20.1.6.2 Induzir deliberadamente a erro no julgamento;</w:t>
      </w:r>
    </w:p>
    <w:p>
      <w:pPr>
        <w:pStyle w:val="Normal"/>
        <w:spacing w:lineRule="auto" w:line="276" w:before="57" w:after="57"/>
        <w:ind w:hanging="0" w:left="0" w:right="0"/>
        <w:jc w:val="both"/>
        <w:rPr/>
      </w:pPr>
      <w:r>
        <w:rPr>
          <w:rFonts w:ascii="Verdana" w:hAnsi="Verdana"/>
          <w:sz w:val="20"/>
          <w:szCs w:val="20"/>
        </w:rPr>
        <w:t>20.1.6.3 Apresentar amostra falsificada ou deteriorada;</w:t>
      </w:r>
    </w:p>
    <w:p>
      <w:pPr>
        <w:pStyle w:val="Normal"/>
        <w:spacing w:lineRule="auto" w:line="276" w:before="57" w:after="57"/>
        <w:ind w:hanging="0" w:left="0" w:right="0"/>
        <w:jc w:val="both"/>
        <w:rPr/>
      </w:pPr>
      <w:r>
        <w:rPr>
          <w:rFonts w:ascii="Verdana" w:hAnsi="Verdana"/>
          <w:sz w:val="20"/>
          <w:szCs w:val="20"/>
        </w:rPr>
        <w:t>20.1.7 P</w:t>
      </w:r>
      <w:bookmarkStart w:id="15" w:name="_Ref114668251"/>
      <w:r>
        <w:rPr>
          <w:rFonts w:ascii="Verdana" w:hAnsi="Verdana"/>
          <w:sz w:val="20"/>
          <w:szCs w:val="20"/>
        </w:rPr>
        <w:t>raticar atos ilícitos com vistas a frustrar os objetivos da licitação</w:t>
      </w:r>
      <w:bookmarkEnd w:id="15"/>
    </w:p>
    <w:p>
      <w:pPr>
        <w:pStyle w:val="Normal"/>
        <w:spacing w:lineRule="auto" w:line="276" w:before="57" w:after="57"/>
        <w:ind w:hanging="0" w:left="0" w:right="0"/>
        <w:jc w:val="both"/>
        <w:rPr/>
      </w:pPr>
      <w:r>
        <w:rPr>
          <w:rFonts w:ascii="Verdana" w:hAnsi="Verdana"/>
          <w:sz w:val="20"/>
          <w:szCs w:val="20"/>
        </w:rPr>
        <w:t>20.1.8 P</w:t>
      </w:r>
      <w:bookmarkStart w:id="16" w:name="_Ref114668252"/>
      <w:r>
        <w:rPr>
          <w:rFonts w:ascii="Verdana" w:hAnsi="Verdana"/>
          <w:sz w:val="20"/>
          <w:szCs w:val="20"/>
        </w:rPr>
        <w:t xml:space="preserve">raticar ato lesivo previsto no </w:t>
      </w:r>
      <w:r>
        <w:fldChar w:fldCharType="begin"/>
      </w:r>
      <w:r>
        <w:rPr>
          <w:rStyle w:val="ListLabel196"/>
          <w:sz w:val="20"/>
          <w:szCs w:val="20"/>
          <w:rFonts w:ascii="Verdana" w:hAnsi="Verdana"/>
          <w:color w:val="000000"/>
        </w:rPr>
        <w:instrText xml:space="preserve"> HYPERLINK "https://www.planalto.gov.br/ccivil_03/_ato2011-2014/2013/lei/l12846.htm" \l "art5"</w:instrText>
      </w:r>
      <w:r>
        <w:rPr>
          <w:rStyle w:val="ListLabel196"/>
          <w:sz w:val="20"/>
          <w:szCs w:val="20"/>
          <w:rFonts w:ascii="Verdana" w:hAnsi="Verdana"/>
          <w:color w:val="000000"/>
        </w:rPr>
        <w:fldChar w:fldCharType="separate"/>
      </w:r>
      <w:r>
        <w:rPr>
          <w:rStyle w:val="ListLabel196"/>
          <w:rFonts w:ascii="Verdana" w:hAnsi="Verdana"/>
          <w:color w:val="000000"/>
          <w:sz w:val="20"/>
          <w:szCs w:val="20"/>
        </w:rPr>
        <w:t>art. 5º da Lei n.º 12.846, de 2013</w:t>
      </w:r>
      <w:r>
        <w:rPr>
          <w:rStyle w:val="ListLabel196"/>
          <w:sz w:val="20"/>
          <w:szCs w:val="20"/>
          <w:rFonts w:ascii="Verdana" w:hAnsi="Verdana"/>
          <w:color w:val="000000"/>
        </w:rPr>
        <w:fldChar w:fldCharType="end"/>
      </w:r>
      <w:r>
        <w:rPr>
          <w:rFonts w:ascii="Verdana" w:hAnsi="Verdana"/>
          <w:sz w:val="20"/>
          <w:szCs w:val="20"/>
        </w:rPr>
        <w:t>.</w:t>
      </w:r>
      <w:bookmarkEnd w:id="16"/>
    </w:p>
    <w:p>
      <w:pPr>
        <w:pStyle w:val="Nivel2"/>
        <w:numPr>
          <w:ilvl w:val="0"/>
          <w:numId w:val="0"/>
        </w:numPr>
        <w:spacing w:lineRule="auto" w:line="276" w:before="57" w:after="57"/>
        <w:ind w:hanging="0" w:left="0" w:right="0"/>
        <w:rPr/>
      </w:pPr>
      <w:r>
        <w:rPr>
          <w:rFonts w:ascii="Verdana" w:hAnsi="Verdana"/>
          <w:sz w:val="20"/>
          <w:szCs w:val="20"/>
        </w:rPr>
        <w:t xml:space="preserve">20.2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76" w:before="57" w:after="57"/>
        <w:ind w:hanging="0" w:left="0" w:right="0"/>
        <w:rPr/>
      </w:pPr>
      <w:r>
        <w:rPr>
          <w:rFonts w:ascii="Verdana" w:hAnsi="Verdana"/>
          <w:sz w:val="20"/>
          <w:szCs w:val="20"/>
        </w:rPr>
        <w:t>20.2.1 Advertência;</w:t>
      </w:r>
    </w:p>
    <w:p>
      <w:pPr>
        <w:pStyle w:val="Nivel2"/>
        <w:numPr>
          <w:ilvl w:val="0"/>
          <w:numId w:val="0"/>
        </w:numPr>
        <w:spacing w:lineRule="auto" w:line="276" w:before="57" w:after="57"/>
        <w:ind w:hanging="0" w:left="0" w:right="0"/>
        <w:rPr/>
      </w:pPr>
      <w:r>
        <w:rPr>
          <w:rFonts w:ascii="Verdana" w:hAnsi="Verdana"/>
          <w:sz w:val="20"/>
          <w:szCs w:val="20"/>
        </w:rPr>
        <w:t>20.2.2 Multa;</w:t>
      </w:r>
    </w:p>
    <w:p>
      <w:pPr>
        <w:pStyle w:val="Nivel2"/>
        <w:numPr>
          <w:ilvl w:val="0"/>
          <w:numId w:val="0"/>
        </w:numPr>
        <w:spacing w:lineRule="auto" w:line="276" w:before="57" w:after="57"/>
        <w:ind w:hanging="0" w:left="0" w:right="0"/>
        <w:rPr/>
      </w:pPr>
      <w:r>
        <w:rPr>
          <w:rFonts w:ascii="Verdana" w:hAnsi="Verdana"/>
          <w:sz w:val="20"/>
          <w:szCs w:val="20"/>
        </w:rPr>
        <w:t>20.2.3 Impedimento de licitar e contratar e</w:t>
      </w:r>
    </w:p>
    <w:p>
      <w:pPr>
        <w:pStyle w:val="Nivel2"/>
        <w:numPr>
          <w:ilvl w:val="0"/>
          <w:numId w:val="0"/>
        </w:numPr>
        <w:spacing w:lineRule="auto" w:line="276" w:before="57" w:after="57"/>
        <w:ind w:hanging="0" w:left="0" w:right="0"/>
        <w:rPr/>
      </w:pPr>
      <w:r>
        <w:rPr>
          <w:rFonts w:ascii="Verdana" w:hAnsi="Verdana"/>
          <w:sz w:val="20"/>
          <w:szCs w:val="20"/>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76" w:before="57" w:after="57"/>
        <w:ind w:hanging="0" w:left="0" w:right="0"/>
        <w:rPr/>
      </w:pPr>
      <w:r>
        <w:rPr>
          <w:rFonts w:ascii="Verdana" w:hAnsi="Verdana"/>
          <w:sz w:val="20"/>
          <w:szCs w:val="20"/>
        </w:rPr>
        <w:t>20.3 Na aplicação das sanções serão considerados:</w:t>
      </w:r>
    </w:p>
    <w:p>
      <w:pPr>
        <w:pStyle w:val="Nivel2"/>
        <w:numPr>
          <w:ilvl w:val="0"/>
          <w:numId w:val="0"/>
        </w:numPr>
        <w:spacing w:lineRule="auto" w:line="276" w:before="57" w:after="57"/>
        <w:ind w:hanging="0" w:left="0" w:right="0"/>
        <w:rPr/>
      </w:pPr>
      <w:r>
        <w:rPr>
          <w:rFonts w:ascii="Verdana" w:hAnsi="Verdana"/>
          <w:sz w:val="20"/>
          <w:szCs w:val="20"/>
        </w:rPr>
        <w:t>20.3.1 A natureza e a gravidade da infração cometida.</w:t>
      </w:r>
    </w:p>
    <w:p>
      <w:pPr>
        <w:pStyle w:val="Nivel2"/>
        <w:numPr>
          <w:ilvl w:val="0"/>
          <w:numId w:val="0"/>
        </w:numPr>
        <w:spacing w:lineRule="auto" w:line="276" w:before="57" w:after="57"/>
        <w:ind w:hanging="0" w:left="0" w:right="0"/>
        <w:rPr/>
      </w:pPr>
      <w:r>
        <w:rPr>
          <w:rFonts w:ascii="Verdana" w:hAnsi="Verdana"/>
          <w:sz w:val="20"/>
          <w:szCs w:val="20"/>
        </w:rPr>
        <w:t>20.3.2 As peculiaridades do caso concreto</w:t>
      </w:r>
    </w:p>
    <w:p>
      <w:pPr>
        <w:pStyle w:val="Nivel2"/>
        <w:numPr>
          <w:ilvl w:val="0"/>
          <w:numId w:val="0"/>
        </w:numPr>
        <w:spacing w:lineRule="auto" w:line="276" w:before="57" w:after="57"/>
        <w:ind w:hanging="0" w:left="0" w:right="0"/>
        <w:rPr/>
      </w:pPr>
      <w:r>
        <w:rPr>
          <w:rFonts w:ascii="Verdana" w:hAnsi="Verdana"/>
          <w:sz w:val="20"/>
          <w:szCs w:val="20"/>
        </w:rPr>
        <w:t>20.3.3 As circunstâncias agravantes ou atenuantes</w:t>
      </w:r>
    </w:p>
    <w:p>
      <w:pPr>
        <w:pStyle w:val="Nivel2"/>
        <w:numPr>
          <w:ilvl w:val="0"/>
          <w:numId w:val="0"/>
        </w:numPr>
        <w:spacing w:lineRule="auto" w:line="276" w:before="57" w:after="57"/>
        <w:ind w:hanging="0" w:left="0" w:right="0"/>
        <w:rPr/>
      </w:pPr>
      <w:r>
        <w:rPr>
          <w:rFonts w:ascii="Verdana" w:hAnsi="Verdana"/>
          <w:sz w:val="20"/>
          <w:szCs w:val="20"/>
        </w:rPr>
        <w:t>20.3.4 Os danos que dela provierem para a Administração Pública</w:t>
      </w:r>
    </w:p>
    <w:p>
      <w:pPr>
        <w:pStyle w:val="Nivel2"/>
        <w:numPr>
          <w:ilvl w:val="0"/>
          <w:numId w:val="0"/>
        </w:numPr>
        <w:spacing w:lineRule="auto" w:line="276" w:before="57" w:after="57"/>
        <w:ind w:hanging="0" w:left="0" w:right="0"/>
        <w:rPr/>
      </w:pPr>
      <w:r>
        <w:rPr>
          <w:rFonts w:ascii="Verdana" w:hAnsi="Verdana"/>
          <w:sz w:val="20"/>
          <w:szCs w:val="20"/>
        </w:rPr>
        <w:t>20.3.5 A implantação ou o aperfeiçoamento de programa de integridade, conforme normas e orientações dos órgãos de controle.</w:t>
      </w:r>
    </w:p>
    <w:p>
      <w:pPr>
        <w:pStyle w:val="Nivel2"/>
        <w:numPr>
          <w:ilvl w:val="0"/>
          <w:numId w:val="0"/>
        </w:numPr>
        <w:spacing w:lineRule="auto" w:line="276" w:before="57" w:after="57"/>
        <w:ind w:hanging="0" w:left="0" w:right="0"/>
        <w:rPr/>
      </w:pPr>
      <w:r>
        <w:rPr>
          <w:rFonts w:ascii="Verdana" w:hAnsi="Verdana"/>
          <w:sz w:val="20"/>
          <w:szCs w:val="20"/>
        </w:rPr>
        <w:t xml:space="preserve">20.4 A multa será recolhida em percentual de 0,5% a 30% incidente sobre o valor do contrato licitado, recolhida no prazo máximo de </w:t>
      </w:r>
      <w:r>
        <w:rPr>
          <w:rFonts w:ascii="Verdana" w:hAnsi="Verdana"/>
          <w:b/>
          <w:bCs/>
          <w:color w:val="FF0000"/>
          <w:sz w:val="20"/>
          <w:szCs w:val="20"/>
        </w:rPr>
        <w:t>.... (......) dias</w:t>
      </w:r>
      <w:r>
        <w:rPr>
          <w:rFonts w:ascii="Verdana" w:hAnsi="Verdana"/>
          <w:color w:val="FF0000"/>
          <w:sz w:val="20"/>
          <w:szCs w:val="20"/>
        </w:rPr>
        <w:t xml:space="preserve"> </w:t>
      </w:r>
      <w:r>
        <w:rPr>
          <w:rFonts w:ascii="Verdana" w:hAnsi="Verdana"/>
          <w:sz w:val="20"/>
          <w:szCs w:val="20"/>
        </w:rPr>
        <w:t>úteis, a contar da comunicação oficial.</w:t>
      </w:r>
    </w:p>
    <w:p>
      <w:pPr>
        <w:pStyle w:val="Nivel2"/>
        <w:numPr>
          <w:ilvl w:val="0"/>
          <w:numId w:val="0"/>
        </w:numPr>
        <w:spacing w:lineRule="auto" w:line="276" w:before="57" w:after="57"/>
        <w:ind w:hanging="0" w:left="0" w:right="0"/>
        <w:rPr/>
      </w:pPr>
      <w:r>
        <w:rPr>
          <w:rFonts w:ascii="Verdana" w:hAnsi="Verdana"/>
          <w:sz w:val="20"/>
          <w:szCs w:val="20"/>
        </w:rPr>
        <w:t xml:space="preserve">20.4.1 </w:t>
      </w:r>
      <w:bookmarkStart w:id="17" w:name="_Hlk113876035"/>
      <w:r>
        <w:rPr>
          <w:rFonts w:ascii="Verdana" w:hAnsi="Verdana"/>
          <w:sz w:val="20"/>
          <w:szCs w:val="20"/>
        </w:rPr>
        <w:t xml:space="preserve">Para as infrações previstas nos itens 20.1.1, 20.1.2 e 20.1.3, a multa será de </w:t>
      </w:r>
      <w:r>
        <w:rPr>
          <w:rFonts w:ascii="Verdana" w:hAnsi="Verdana"/>
          <w:color w:val="FF0000"/>
          <w:sz w:val="20"/>
          <w:szCs w:val="20"/>
        </w:rPr>
        <w:t xml:space="preserve">0,5% </w:t>
      </w:r>
      <w:r>
        <w:rPr>
          <w:rFonts w:ascii="Verdana" w:hAnsi="Verdana"/>
          <w:sz w:val="20"/>
          <w:szCs w:val="20"/>
        </w:rPr>
        <w:t xml:space="preserve">a </w:t>
      </w:r>
      <w:r>
        <w:rPr>
          <w:rFonts w:ascii="Verdana" w:hAnsi="Verdana"/>
          <w:color w:val="FF0000"/>
          <w:sz w:val="20"/>
          <w:szCs w:val="20"/>
        </w:rPr>
        <w:t>15%</w:t>
      </w:r>
      <w:r>
        <w:rPr>
          <w:rFonts w:ascii="Verdana" w:hAnsi="Verdana"/>
          <w:color w:val="0000FF"/>
          <w:sz w:val="20"/>
          <w:szCs w:val="20"/>
        </w:rPr>
        <w:t xml:space="preserve"> </w:t>
      </w:r>
      <w:r>
        <w:rPr>
          <w:rFonts w:ascii="Verdana" w:hAnsi="Verdana"/>
          <w:sz w:val="20"/>
          <w:szCs w:val="20"/>
        </w:rPr>
        <w:t>do valor do contrato licitado.</w:t>
      </w:r>
      <w:bookmarkEnd w:id="17"/>
    </w:p>
    <w:p>
      <w:pPr>
        <w:pStyle w:val="Nivel2"/>
        <w:numPr>
          <w:ilvl w:val="0"/>
          <w:numId w:val="0"/>
        </w:numPr>
        <w:spacing w:lineRule="auto" w:line="276" w:before="57" w:after="57"/>
        <w:ind w:hanging="0" w:left="0" w:right="0"/>
        <w:rPr/>
      </w:pPr>
      <w:r>
        <w:rPr>
          <w:rFonts w:ascii="Verdana" w:hAnsi="Verdana"/>
          <w:sz w:val="20"/>
          <w:szCs w:val="20"/>
        </w:rPr>
        <w:t xml:space="preserve">20.4.2 Para as infrações previstas nos itens 20.1.4, 20.1.5, 20.1.6, 20.1.7 e 20.1.8, a multa será de </w:t>
      </w:r>
      <w:r>
        <w:rPr>
          <w:rFonts w:ascii="Verdana" w:hAnsi="Verdana"/>
          <w:color w:val="FF0000"/>
          <w:sz w:val="20"/>
          <w:szCs w:val="20"/>
        </w:rPr>
        <w:t>15%</w:t>
      </w:r>
      <w:r>
        <w:rPr>
          <w:rFonts w:ascii="Verdana" w:hAnsi="Verdana"/>
          <w:color w:val="0000FF"/>
          <w:sz w:val="20"/>
          <w:szCs w:val="20"/>
        </w:rPr>
        <w:t xml:space="preserve"> </w:t>
      </w:r>
      <w:r>
        <w:rPr>
          <w:rFonts w:ascii="Verdana" w:hAnsi="Verdana"/>
          <w:sz w:val="20"/>
          <w:szCs w:val="20"/>
        </w:rPr>
        <w:t xml:space="preserve">a </w:t>
      </w:r>
      <w:r>
        <w:rPr>
          <w:rFonts w:ascii="Verdana" w:hAnsi="Verdana"/>
          <w:color w:val="FF0000"/>
          <w:sz w:val="20"/>
          <w:szCs w:val="20"/>
        </w:rPr>
        <w:t>30%</w:t>
      </w:r>
      <w:r>
        <w:rPr>
          <w:rFonts w:ascii="Verdana" w:hAnsi="Verdana"/>
          <w:color w:val="0000FF"/>
          <w:sz w:val="20"/>
          <w:szCs w:val="20"/>
        </w:rPr>
        <w:t xml:space="preserve"> </w:t>
      </w:r>
      <w:r>
        <w:rPr>
          <w:rFonts w:ascii="Verdana" w:hAnsi="Verdana"/>
          <w:sz w:val="20"/>
          <w:szCs w:val="20"/>
        </w:rPr>
        <w:t>do valor do contrato licitado.</w:t>
      </w:r>
    </w:p>
    <w:p>
      <w:pPr>
        <w:pStyle w:val="Nivel2"/>
        <w:numPr>
          <w:ilvl w:val="0"/>
          <w:numId w:val="0"/>
        </w:numPr>
        <w:spacing w:lineRule="auto" w:line="276" w:before="57" w:after="57"/>
        <w:ind w:hanging="0" w:left="0" w:right="0"/>
        <w:rPr/>
      </w:pPr>
      <w:r>
        <w:rPr>
          <w:rFonts w:ascii="Verdana" w:hAnsi="Verdana"/>
          <w:sz w:val="20"/>
          <w:szCs w:val="20"/>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76" w:before="57" w:after="57"/>
        <w:ind w:hanging="0" w:left="0" w:right="0"/>
        <w:rPr/>
      </w:pPr>
      <w:r>
        <w:rPr>
          <w:rFonts w:ascii="Verdana" w:hAnsi="Verdana"/>
          <w:sz w:val="20"/>
          <w:szCs w:val="20"/>
        </w:rPr>
        <w:t>20.6 Na aplicação da sanção de multa será facultada a defesa do interessado no prazo de 15 (quinze) dias úteis, contado da data de sua intimação.</w:t>
      </w:r>
    </w:p>
    <w:p>
      <w:pPr>
        <w:pStyle w:val="Nivel2"/>
        <w:numPr>
          <w:ilvl w:val="0"/>
          <w:numId w:val="0"/>
        </w:numPr>
        <w:spacing w:lineRule="auto" w:line="276" w:before="57" w:after="57"/>
        <w:ind w:hanging="0" w:left="0" w:right="0"/>
        <w:rPr/>
      </w:pPr>
      <w:r>
        <w:rPr>
          <w:rFonts w:ascii="Verdana" w:hAnsi="Verdana"/>
          <w:sz w:val="20"/>
          <w:szCs w:val="20"/>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76" w:before="57" w:after="57"/>
        <w:ind w:hanging="0" w:left="0" w:right="0"/>
        <w:rPr/>
      </w:pPr>
      <w:r>
        <w:rPr>
          <w:rFonts w:ascii="Verdana" w:hAnsi="Verdana"/>
          <w:sz w:val="20"/>
          <w:szCs w:val="20"/>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196"/>
          <w:sz w:val="20"/>
          <w:szCs w:val="20"/>
          <w:rFonts w:ascii="Verdana" w:hAnsi="Verdana"/>
          <w:color w:val="000000"/>
        </w:rPr>
        <w:instrText xml:space="preserve"> HYPERLINK "http://www.planalto.gov.br/ccivil_03/_ato2019-2022/2021/lei/L14133.htm" \l "art156%C2%A75"</w:instrText>
      </w:r>
      <w:r>
        <w:rPr>
          <w:rStyle w:val="ListLabel196"/>
          <w:sz w:val="20"/>
          <w:szCs w:val="20"/>
          <w:rFonts w:ascii="Verdana" w:hAnsi="Verdana"/>
          <w:color w:val="000000"/>
        </w:rPr>
        <w:fldChar w:fldCharType="separate"/>
      </w:r>
      <w:r>
        <w:rPr>
          <w:rStyle w:val="ListLabel196"/>
          <w:rFonts w:ascii="Verdana" w:hAnsi="Verdana"/>
          <w:color w:val="000000"/>
          <w:sz w:val="20"/>
          <w:szCs w:val="20"/>
        </w:rPr>
        <w:t>art. 156, §5º, da Lei n.º 14.133/2021</w:t>
      </w:r>
      <w:r>
        <w:rPr>
          <w:rStyle w:val="ListLabel196"/>
          <w:sz w:val="20"/>
          <w:szCs w:val="20"/>
          <w:rFonts w:ascii="Verdana" w:hAnsi="Verdana"/>
          <w:color w:val="000000"/>
        </w:rPr>
        <w:fldChar w:fldCharType="end"/>
      </w:r>
      <w:r>
        <w:rPr>
          <w:rFonts w:ascii="Verdana" w:hAnsi="Verdana"/>
          <w:sz w:val="20"/>
          <w:szCs w:val="20"/>
        </w:rPr>
        <w:t>.</w:t>
      </w:r>
    </w:p>
    <w:p>
      <w:pPr>
        <w:pStyle w:val="Nivel2"/>
        <w:numPr>
          <w:ilvl w:val="0"/>
          <w:numId w:val="0"/>
        </w:numPr>
        <w:spacing w:lineRule="auto" w:line="276" w:before="57" w:after="57"/>
        <w:ind w:hanging="0" w:left="0" w:right="0"/>
        <w:rPr/>
      </w:pPr>
      <w:r>
        <w:rPr>
          <w:rFonts w:ascii="Verdana" w:hAnsi="Verdana"/>
          <w:sz w:val="20"/>
          <w:szCs w:val="20"/>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196"/>
            <w:rFonts w:ascii="Verdana" w:hAnsi="Verdana"/>
            <w:color w:val="000000"/>
            <w:sz w:val="20"/>
            <w:szCs w:val="20"/>
          </w:rPr>
          <w:t>art. 45, §4º da IN SEGES/ME n.º 73, de 2022</w:t>
        </w:r>
      </w:hyperlink>
      <w:r>
        <w:rPr>
          <w:rFonts w:ascii="Verdana" w:hAnsi="Verdana"/>
          <w:sz w:val="20"/>
          <w:szCs w:val="20"/>
        </w:rPr>
        <w:t xml:space="preserve">. </w:t>
      </w:r>
    </w:p>
    <w:p>
      <w:pPr>
        <w:pStyle w:val="Nivel2"/>
        <w:numPr>
          <w:ilvl w:val="0"/>
          <w:numId w:val="0"/>
        </w:numPr>
        <w:spacing w:lineRule="auto" w:line="276" w:before="57" w:after="57"/>
        <w:ind w:hanging="0" w:left="0" w:right="0"/>
        <w:rPr/>
      </w:pPr>
      <w:r>
        <w:rPr>
          <w:rFonts w:ascii="Verdana" w:hAnsi="Verdana"/>
          <w:sz w:val="20"/>
          <w:szCs w:val="20"/>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76" w:before="57" w:after="57"/>
        <w:ind w:hanging="0" w:left="0" w:right="0"/>
        <w:rPr/>
      </w:pPr>
      <w:r>
        <w:rPr>
          <w:rFonts w:ascii="Verdana" w:hAnsi="Verdana"/>
          <w:sz w:val="20"/>
          <w:szCs w:val="20"/>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76" w:before="57" w:after="57"/>
        <w:ind w:hanging="0" w:left="0" w:right="0"/>
        <w:rPr/>
      </w:pPr>
      <w:r>
        <w:rPr>
          <w:rFonts w:ascii="Verdana" w:hAnsi="Verdana"/>
          <w:sz w:val="20"/>
          <w:szCs w:val="20"/>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76" w:before="57" w:after="57"/>
        <w:ind w:hanging="0" w:left="0" w:right="0"/>
        <w:rPr/>
      </w:pPr>
      <w:r>
        <w:rPr>
          <w:rFonts w:ascii="Verdana" w:hAnsi="Verdana"/>
          <w:sz w:val="20"/>
          <w:szCs w:val="20"/>
        </w:rPr>
        <w:t>20.12 O recurso e o pedido de reconsideração terão efeito suspensivo do ato ou da decisão recorrida até que sobrevenha decisão final da autoridade competente.</w:t>
      </w:r>
    </w:p>
    <w:p>
      <w:pPr>
        <w:pStyle w:val="Nivel2"/>
        <w:numPr>
          <w:ilvl w:val="0"/>
          <w:numId w:val="0"/>
        </w:numPr>
        <w:spacing w:lineRule="auto" w:line="276" w:before="57" w:after="57"/>
        <w:ind w:hanging="0" w:left="0" w:right="0"/>
        <w:rPr/>
      </w:pPr>
      <w:r>
        <w:rPr>
          <w:rFonts w:cs="Arial" w:ascii="Verdana" w:hAnsi="Verdana"/>
          <w:sz w:val="20"/>
          <w:szCs w:val="20"/>
          <w:shd w:fill="FFFFFF" w:val="clear"/>
        </w:rPr>
        <w:t>20.13 A aplicação das sanções previstas neste edital não exclui, em hipótese alguma, a obrigação de reparação integral dos danos causados.</w:t>
      </w:r>
    </w:p>
    <w:p>
      <w:pPr>
        <w:pStyle w:val="Normal"/>
        <w:spacing w:lineRule="auto" w:line="276" w:before="57" w:after="57"/>
        <w:ind w:hanging="0" w:left="0" w:right="0"/>
        <w:rPr>
          <w:rFonts w:ascii="Verdana" w:hAnsi="Verdana"/>
          <w:sz w:val="20"/>
          <w:szCs w:val="20"/>
        </w:rPr>
      </w:pPr>
      <w:r>
        <w:rPr>
          <w:rFonts w:ascii="Verdana" w:hAnsi="Verdana"/>
          <w:sz w:val="20"/>
          <w:szCs w:val="20"/>
        </w:rPr>
      </w:r>
    </w:p>
    <w:p>
      <w:pPr>
        <w:pStyle w:val="Nivel01"/>
        <w:spacing w:lineRule="auto" w:line="276" w:before="57" w:after="57"/>
        <w:ind w:hanging="0" w:left="0" w:right="0"/>
        <w:rPr/>
      </w:pPr>
      <w:r>
        <w:rPr>
          <w:rFonts w:cs="Arial" w:ascii="Verdana" w:hAnsi="Verdana"/>
          <w:sz w:val="20"/>
          <w:szCs w:val="20"/>
        </w:rPr>
        <w:t>21. DA IMPUGNAÇÃO AO EDITAL E DO PEDIDO DE ESCLARECIMENTO</w:t>
      </w:r>
    </w:p>
    <w:p>
      <w:pPr>
        <w:pStyle w:val="ListParagraph"/>
        <w:spacing w:lineRule="auto" w:line="276" w:before="57" w:after="57"/>
        <w:ind w:hanging="0" w:left="0" w:right="0"/>
        <w:contextualSpacing w:val="false"/>
        <w:jc w:val="both"/>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57" w:after="57"/>
        <w:ind w:hanging="0" w:left="0" w:righ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1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57" w:after="57"/>
        <w:ind w:hanging="0" w:left="0" w:right="0"/>
        <w:contextualSpacing w:val="false"/>
        <w:jc w:val="both"/>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57" w:after="57"/>
        <w:ind w:hanging="0" w:left="0" w:right="0"/>
        <w:contextualSpacing w:val="false"/>
        <w:jc w:val="both"/>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57" w:after="57"/>
        <w:ind w:hanging="0" w:left="0" w:right="0"/>
        <w:contextualSpacing w:val="false"/>
        <w:jc w:val="both"/>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57" w:after="57"/>
        <w:ind w:hanging="0" w:left="0" w:right="0"/>
        <w:contextualSpacing w:val="false"/>
        <w:jc w:val="both"/>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57" w:after="57"/>
        <w:ind w:hanging="0" w:left="0" w:right="0"/>
        <w:contextualSpacing w:val="false"/>
        <w:jc w:val="both"/>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57" w:after="57"/>
        <w:ind w:hanging="0" w:left="0" w:right="0"/>
        <w:contextualSpacing w:val="false"/>
        <w:jc w:val="both"/>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57" w:after="57"/>
        <w:ind w:hanging="0" w:left="0" w:right="0"/>
        <w:contextualSpacing w:val="false"/>
        <w:jc w:val="both"/>
        <w:rPr/>
      </w:pPr>
      <w:r>
        <w:rPr>
          <w:rFonts w:cs="Arial" w:ascii="Verdana" w:hAnsi="Verdana"/>
          <w:color w:val="000000"/>
          <w:sz w:val="20"/>
          <w:szCs w:val="20"/>
        </w:rPr>
        <w:t>21.9 As respostas aos pedidos de esclarecimentos serão divulgadas pelo sistema e vincularão os participantes e a administração.</w:t>
      </w:r>
    </w:p>
    <w:p>
      <w:pPr>
        <w:pStyle w:val="Normal"/>
        <w:spacing w:lineRule="auto" w:line="276" w:before="57" w:after="57"/>
        <w:ind w:hanging="0" w:left="0" w:right="0"/>
        <w:rPr>
          <w:rFonts w:ascii="Verdana" w:hAnsi="Verdana"/>
          <w:sz w:val="20"/>
          <w:szCs w:val="20"/>
        </w:rPr>
      </w:pPr>
      <w:r>
        <w:rPr>
          <w:rFonts w:ascii="Verdana" w:hAnsi="Verdana"/>
          <w:sz w:val="20"/>
          <w:szCs w:val="20"/>
        </w:rPr>
      </w:r>
    </w:p>
    <w:p>
      <w:pPr>
        <w:pStyle w:val="Nivel01"/>
        <w:spacing w:lineRule="auto" w:line="276" w:before="57" w:after="57"/>
        <w:ind w:hanging="0" w:left="0" w:right="0"/>
        <w:rPr/>
      </w:pPr>
      <w:r>
        <w:rPr>
          <w:rFonts w:cs="Arial" w:ascii="Verdana" w:hAnsi="Verdana"/>
          <w:sz w:val="20"/>
          <w:szCs w:val="20"/>
        </w:rPr>
        <w:t>22. DAS DISPOSIÇÕES GERAIS</w:t>
      </w:r>
    </w:p>
    <w:p>
      <w:pPr>
        <w:pStyle w:val="Normal"/>
        <w:spacing w:lineRule="auto" w:line="276" w:before="57" w:after="57"/>
        <w:ind w:hanging="0" w:left="0" w:right="0"/>
        <w:jc w:val="both"/>
        <w:rPr/>
      </w:pPr>
      <w:r>
        <w:rPr>
          <w:rFonts w:cs="Arial" w:ascii="Verdana" w:hAnsi="Verdana"/>
          <w:color w:val="000000"/>
          <w:sz w:val="20"/>
          <w:szCs w:val="20"/>
        </w:rPr>
        <w:t>22.1 Da sessão pública do Pregão divulgar-se-á Ata no sistema eletrônico.</w:t>
      </w:r>
    </w:p>
    <w:p>
      <w:pPr>
        <w:pStyle w:val="Normal"/>
        <w:spacing w:lineRule="auto" w:line="276" w:before="57" w:after="57"/>
        <w:ind w:hanging="0" w:left="0" w:right="0"/>
        <w:jc w:val="both"/>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57"/>
        <w:ind w:hanging="0" w:left="0" w:right="0"/>
        <w:jc w:val="both"/>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before="57" w:after="57"/>
        <w:ind w:hanging="0" w:left="0" w:right="0"/>
        <w:jc w:val="both"/>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57"/>
        <w:ind w:hanging="0" w:left="0" w:right="0"/>
        <w:jc w:val="both"/>
        <w:rPr/>
      </w:pPr>
      <w:r>
        <w:rPr>
          <w:rFonts w:cs="Arial" w:ascii="Verdana" w:hAnsi="Verdana"/>
          <w:color w:val="000000"/>
          <w:sz w:val="20"/>
          <w:szCs w:val="20"/>
        </w:rPr>
        <w:t>22.5 A homologação do resultado desta licitação não implicará direito à contratação.</w:t>
      </w:r>
    </w:p>
    <w:p>
      <w:pPr>
        <w:pStyle w:val="Normal"/>
        <w:spacing w:lineRule="auto" w:line="276" w:before="57" w:after="57"/>
        <w:ind w:hanging="0" w:left="0" w:right="0"/>
        <w:jc w:val="both"/>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57"/>
        <w:ind w:hanging="0" w:left="0" w:right="0"/>
        <w:jc w:val="both"/>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57"/>
        <w:ind w:hanging="0" w:left="0" w:right="0"/>
        <w:jc w:val="both"/>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57"/>
        <w:ind w:hanging="0" w:left="0" w:right="0"/>
        <w:jc w:val="both"/>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57"/>
        <w:ind w:hanging="0" w:left="0" w:right="0"/>
        <w:jc w:val="both"/>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before="57" w:after="57"/>
        <w:ind w:hanging="0" w:left="0" w:right="0"/>
        <w:jc w:val="both"/>
        <w:rPr/>
      </w:pPr>
      <w:r>
        <w:rPr>
          <w:rFonts w:cs="Arial" w:ascii="Verdana" w:hAnsi="Verdana"/>
          <w:color w:val="000000"/>
          <w:sz w:val="20"/>
          <w:szCs w:val="20"/>
        </w:rPr>
        <w:t xml:space="preserve">22.11 O Edital está disponibilizado, na íntegra, no endereço eletrônico </w:t>
      </w:r>
      <w:r>
        <w:rPr>
          <w:rFonts w:cs="Arial" w:ascii="Verdana" w:hAnsi="Verdana"/>
          <w:color w:val="000000"/>
          <w:sz w:val="20"/>
          <w:szCs w:val="20"/>
          <w:u w:val="single"/>
        </w:rPr>
        <w:t xml:space="preserve">Portal de Compras do Governo Federal – </w:t>
      </w:r>
      <w:hyperlink r:id="rId11">
        <w:r>
          <w:rPr>
            <w:rStyle w:val="Hyperlink"/>
            <w:rFonts w:cs="Arial" w:ascii="Verdana" w:hAnsi="Verdana"/>
            <w:color w:val="000000"/>
            <w:sz w:val="20"/>
            <w:szCs w:val="20"/>
          </w:rPr>
          <w:t>www.comprasgovernamentais.gov.br</w:t>
        </w:r>
      </w:hyperlink>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2">
        <w:r>
          <w:rPr>
            <w:rStyle w:val="ListLabel194"/>
            <w:rFonts w:ascii="Verdana" w:hAnsi="Verdana"/>
            <w:color w:val="000080"/>
            <w:sz w:val="20"/>
            <w:szCs w:val="20"/>
            <w:u w:val="single"/>
          </w:rPr>
          <w:t>licitacao@</w:t>
        </w:r>
      </w:hyperlink>
      <w:hyperlink r:id="rId13">
        <w:r>
          <w:rPr>
            <w:rStyle w:val="ListLabel194"/>
            <w:rFonts w:ascii="Verdana" w:hAnsi="Verdana"/>
            <w:color w:val="000080"/>
            <w:sz w:val="20"/>
            <w:szCs w:val="20"/>
            <w:u w:val="single"/>
          </w:rPr>
          <w:t>saogabriel</w:t>
        </w:r>
      </w:hyperlink>
      <w:hyperlink r:id="rId14">
        <w:r>
          <w:rPr>
            <w:rStyle w:val="ListLabel194"/>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pPr>
        <w:pStyle w:val="Normal"/>
        <w:spacing w:lineRule="auto" w:line="276" w:before="57" w:after="57"/>
        <w:ind w:hanging="0" w:left="0" w:right="0"/>
        <w:jc w:val="both"/>
        <w:rPr/>
      </w:pPr>
      <w:r>
        <w:rPr>
          <w:rFonts w:cs="Arial" w:ascii="Verdana" w:hAnsi="Verdana"/>
          <w:color w:val="000000"/>
          <w:sz w:val="20"/>
          <w:szCs w:val="20"/>
        </w:rPr>
        <w:t>22.12 Integram este Edital, para todos os fins e efeitos, os seguintes anexos</w:t>
      </w:r>
    </w:p>
    <w:p>
      <w:pPr>
        <w:pStyle w:val="Normal"/>
        <w:spacing w:lineRule="auto" w:line="276" w:before="57" w:after="57"/>
        <w:ind w:hanging="0" w:left="0" w:right="0"/>
        <w:jc w:val="both"/>
        <w:rPr/>
      </w:pPr>
      <w:r>
        <w:rPr>
          <w:rFonts w:cs="Arial" w:ascii="Verdana" w:hAnsi="Verdana"/>
          <w:color w:val="000000"/>
          <w:sz w:val="20"/>
          <w:szCs w:val="20"/>
        </w:rPr>
        <w:t>22.12.1 ANEXO I – Termo de Referência;</w:t>
      </w:r>
    </w:p>
    <w:p>
      <w:pPr>
        <w:pStyle w:val="Normal"/>
        <w:spacing w:lineRule="auto" w:line="276" w:before="57" w:after="57"/>
        <w:ind w:hanging="0" w:left="0" w:right="0"/>
        <w:jc w:val="both"/>
        <w:rPr/>
      </w:pPr>
      <w:r>
        <w:rPr>
          <w:rFonts w:cs="Arial" w:ascii="Verdana" w:hAnsi="Verdana"/>
          <w:color w:val="000000"/>
          <w:sz w:val="20"/>
          <w:szCs w:val="20"/>
        </w:rPr>
        <w:t>22.12.1.1 ANEXO I-1 – Estudo Técnico Preliminar;</w:t>
      </w:r>
    </w:p>
    <w:p>
      <w:pPr>
        <w:pStyle w:val="Normal"/>
        <w:tabs>
          <w:tab w:val="clear" w:pos="720"/>
          <w:tab w:val="left" w:pos="800" w:leader="none"/>
        </w:tabs>
        <w:snapToGrid w:val="false"/>
        <w:spacing w:lineRule="auto" w:line="276" w:before="57" w:after="57"/>
        <w:ind w:hanging="0" w:left="0" w:right="0"/>
        <w:jc w:val="both"/>
        <w:rPr/>
      </w:pPr>
      <w:r>
        <w:rPr>
          <w:rFonts w:cs="Arial" w:ascii="Verdana" w:hAnsi="Verdana"/>
          <w:color w:val="000000"/>
          <w:sz w:val="20"/>
          <w:szCs w:val="20"/>
        </w:rPr>
        <w:t>22.12.2 ANEXO II – Modelo Orientativo de Proposta;</w:t>
      </w:r>
    </w:p>
    <w:p>
      <w:pPr>
        <w:pStyle w:val="Normal"/>
        <w:tabs>
          <w:tab w:val="clear" w:pos="720"/>
          <w:tab w:val="left" w:pos="800" w:leader="none"/>
        </w:tabs>
        <w:snapToGrid w:val="false"/>
        <w:spacing w:lineRule="auto" w:line="276" w:before="57" w:after="57"/>
        <w:ind w:hanging="0" w:left="0" w:right="0"/>
        <w:jc w:val="both"/>
        <w:rPr/>
      </w:pPr>
      <w:r>
        <w:rPr>
          <w:rFonts w:cs="Arial" w:ascii="Verdana" w:hAnsi="Verdana"/>
          <w:color w:val="000000"/>
          <w:sz w:val="20"/>
          <w:szCs w:val="20"/>
        </w:rPr>
        <w:t>22.12.3 ANEXO III – Minuta de Contrato;</w:t>
      </w:r>
    </w:p>
    <w:p>
      <w:pPr>
        <w:pStyle w:val="Normal"/>
        <w:tabs>
          <w:tab w:val="clear" w:pos="720"/>
          <w:tab w:val="left" w:pos="800" w:leader="none"/>
        </w:tabs>
        <w:snapToGrid w:val="false"/>
        <w:spacing w:lineRule="auto" w:line="276" w:before="57" w:after="57"/>
        <w:ind w:hanging="0" w:left="0" w:right="0"/>
        <w:jc w:val="both"/>
        <w:rPr/>
      </w:pPr>
      <w:r>
        <w:rPr>
          <w:rFonts w:cs="Arial" w:ascii="Verdana" w:hAnsi="Verdana"/>
          <w:color w:val="000000"/>
          <w:sz w:val="20"/>
          <w:szCs w:val="20"/>
        </w:rPr>
        <w:t>22.12.4 ANEXO IV – Cronograma de Entrega.</w:t>
      </w:r>
    </w:p>
    <w:p>
      <w:pPr>
        <w:pStyle w:val="Normal"/>
        <w:tabs>
          <w:tab w:val="clear" w:pos="720"/>
          <w:tab w:val="left" w:pos="800" w:leader="none"/>
        </w:tabs>
        <w:snapToGrid w:val="false"/>
        <w:spacing w:lineRule="auto" w:line="276" w:before="57" w:after="57"/>
        <w:ind w:hanging="0" w:left="0" w:right="0"/>
        <w:jc w:val="both"/>
        <w:rPr>
          <w:rFonts w:ascii="Verdana" w:hAnsi="Verdana"/>
          <w:sz w:val="20"/>
          <w:szCs w:val="20"/>
        </w:rPr>
      </w:pPr>
      <w:r>
        <w:rPr>
          <w:rFonts w:ascii="Verdana" w:hAnsi="Verdana"/>
          <w:sz w:val="20"/>
          <w:szCs w:val="20"/>
        </w:rPr>
      </w:r>
    </w:p>
    <w:p>
      <w:pPr>
        <w:pStyle w:val="Normal"/>
        <w:tabs>
          <w:tab w:val="clear" w:pos="720"/>
          <w:tab w:val="left" w:pos="800" w:leader="none"/>
        </w:tabs>
        <w:snapToGrid w:val="false"/>
        <w:spacing w:lineRule="auto" w:line="276" w:before="57" w:after="57"/>
        <w:ind w:hanging="0" w:left="0" w:right="0"/>
        <w:jc w:val="both"/>
        <w:rPr>
          <w:rFonts w:ascii="Verdana" w:hAnsi="Verdana" w:cs="Arial"/>
          <w:color w:val="000000"/>
          <w:sz w:val="20"/>
          <w:szCs w:val="20"/>
        </w:rPr>
      </w:pPr>
      <w:r>
        <w:rPr>
          <w:rFonts w:cs="Arial" w:ascii="Verdana" w:hAnsi="Verdana"/>
          <w:color w:val="000000"/>
          <w:sz w:val="20"/>
          <w:szCs w:val="20"/>
        </w:rPr>
      </w:r>
    </w:p>
    <w:p>
      <w:pPr>
        <w:pStyle w:val="Normal"/>
        <w:keepNext w:val="true"/>
        <w:keepLines/>
        <w:numPr>
          <w:ilvl w:val="0"/>
          <w:numId w:val="0"/>
        </w:numPr>
        <w:tabs>
          <w:tab w:val="clear" w:pos="720"/>
          <w:tab w:val="left" w:pos="567" w:leader="none"/>
        </w:tabs>
        <w:spacing w:lineRule="auto" w:line="276" w:before="57" w:after="57"/>
        <w:ind w:hanging="0" w:left="0" w:right="0"/>
        <w:jc w:val="center"/>
        <w:outlineLvl w:val="0"/>
        <w:rPr/>
      </w:pPr>
      <w:r>
        <w:rPr>
          <w:rFonts w:cs="Arial" w:ascii="Verdana" w:hAnsi="Verdana"/>
          <w:color w:val="000000"/>
          <w:sz w:val="20"/>
          <w:szCs w:val="20"/>
        </w:rPr>
        <w:t xml:space="preserve">São Gabriel da Palha/ES, </w:t>
      </w:r>
      <w:r>
        <w:rPr>
          <w:rFonts w:cs="Arial" w:ascii="Verdana" w:hAnsi="Verdana"/>
          <w:color w:val="000000"/>
          <w:sz w:val="20"/>
          <w:szCs w:val="20"/>
        </w:rPr>
        <w:t>26</w:t>
      </w:r>
      <w:r>
        <w:rPr>
          <w:rFonts w:cs="Arial" w:ascii="Verdana" w:hAnsi="Verdana"/>
          <w:color w:val="000000"/>
          <w:sz w:val="20"/>
          <w:szCs w:val="20"/>
        </w:rPr>
        <w:t xml:space="preserve"> de </w:t>
      </w:r>
      <w:r>
        <w:rPr>
          <w:rFonts w:cs="Arial" w:ascii="Verdana" w:hAnsi="Verdana"/>
          <w:color w:val="000000"/>
          <w:sz w:val="20"/>
          <w:szCs w:val="20"/>
        </w:rPr>
        <w:t>setembro</w:t>
      </w:r>
      <w:r>
        <w:rPr>
          <w:rFonts w:cs="Arial" w:ascii="Verdana" w:hAnsi="Verdana"/>
          <w:color w:val="000000"/>
          <w:sz w:val="20"/>
          <w:szCs w:val="20"/>
        </w:rPr>
        <w:t xml:space="preserve"> de 2024.</w:t>
      </w:r>
    </w:p>
    <w:p>
      <w:pPr>
        <w:pStyle w:val="Normal"/>
        <w:tabs>
          <w:tab w:val="clear" w:pos="720"/>
          <w:tab w:val="left" w:pos="1440" w:leader="none"/>
        </w:tabs>
        <w:snapToGrid w:val="false"/>
        <w:spacing w:lineRule="auto" w:line="276" w:before="57" w:after="57"/>
        <w:ind w:hanging="0" w:left="0" w:right="0"/>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lineRule="auto" w:line="276" w:before="57" w:after="57"/>
        <w:ind w:hanging="0" w:left="0" w:right="0"/>
        <w:jc w:val="both"/>
        <w:rPr>
          <w:rFonts w:ascii="Verdana" w:hAnsi="Verdana" w:cs="Arial"/>
          <w:sz w:val="20"/>
          <w:szCs w:val="20"/>
        </w:rPr>
      </w:pPr>
      <w:r>
        <w:rPr>
          <w:rFonts w:cs="Arial" w:ascii="Verdana" w:hAnsi="Verdana"/>
          <w:sz w:val="20"/>
          <w:szCs w:val="20"/>
        </w:rPr>
      </w:r>
    </w:p>
    <w:p>
      <w:pPr>
        <w:pStyle w:val="Normal"/>
        <w:numPr>
          <w:ilvl w:val="0"/>
          <w:numId w:val="0"/>
        </w:numPr>
        <w:tabs>
          <w:tab w:val="clear" w:pos="720"/>
          <w:tab w:val="left" w:pos="567" w:leader="none"/>
        </w:tabs>
        <w:spacing w:lineRule="auto" w:line="276" w:before="57" w:after="57"/>
        <w:ind w:hanging="0" w:left="0" w:right="0"/>
        <w:jc w:val="center"/>
        <w:outlineLvl w:val="0"/>
        <w:rPr/>
      </w:pPr>
      <w:r>
        <w:rPr>
          <w:rFonts w:eastAsia="" w:cs="Arial" w:ascii="Verdana" w:hAnsi="Verdana" w:eastAsiaTheme="majorEastAsia"/>
          <w:b/>
          <w:bCs/>
          <w:color w:val="000000"/>
          <w:sz w:val="20"/>
          <w:szCs w:val="20"/>
        </w:rPr>
        <w:t>JANE LISLIE MARTINELLI DOS SANTOS</w:t>
      </w:r>
    </w:p>
    <w:p>
      <w:pPr>
        <w:pStyle w:val="Normal"/>
        <w:keepNext w:val="true"/>
        <w:keepLines/>
        <w:numPr>
          <w:ilvl w:val="0"/>
          <w:numId w:val="0"/>
        </w:numPr>
        <w:tabs>
          <w:tab w:val="clear" w:pos="720"/>
          <w:tab w:val="left" w:pos="567" w:leader="none"/>
        </w:tabs>
        <w:spacing w:lineRule="auto" w:line="276" w:before="57" w:after="57"/>
        <w:ind w:hanging="0" w:left="0" w:right="0"/>
        <w:jc w:val="center"/>
        <w:outlineLvl w:val="0"/>
        <w:rPr/>
      </w:pPr>
      <w:r>
        <w:rPr>
          <w:rFonts w:eastAsia="" w:cs="Arial" w:ascii="Verdana" w:hAnsi="Verdana" w:eastAsiaTheme="majorEastAsia"/>
          <w:b/>
          <w:bCs/>
          <w:color w:val="000000"/>
          <w:sz w:val="20"/>
          <w:szCs w:val="20"/>
        </w:rPr>
        <w:t xml:space="preserve">Secretária Municipal de Educação </w:t>
      </w:r>
      <w:r>
        <w:rPr>
          <w:rFonts w:eastAsia="" w:cs="Arial" w:ascii="Verdana" w:hAnsi="Verdana" w:eastAsiaTheme="majorEastAsia"/>
          <w:b/>
          <w:bCs/>
          <w:i w:val="false"/>
          <w:iCs w:val="false"/>
          <w:color w:val="000000"/>
          <w:sz w:val="20"/>
          <w:szCs w:val="20"/>
        </w:rPr>
        <w:t>Interina</w:t>
      </w:r>
    </w:p>
    <w:sectPr>
      <w:headerReference w:type="even" r:id="rId15"/>
      <w:headerReference w:type="default" r:id="rId16"/>
      <w:headerReference w:type="first" r:id="rId17"/>
      <w:footerReference w:type="even" r:id="rId18"/>
      <w:footerReference w:type="default" r:id="rId19"/>
      <w:footerReference w:type="first" r:id="rId20"/>
      <w:type w:val="nextPage"/>
      <w:pgSz w:w="11906" w:h="16838"/>
      <w:pgMar w:left="1701" w:right="1134" w:gutter="0" w:header="517" w:top="1767" w:footer="158" w:bottom="82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Verdana">
    <w:charset w:val="00"/>
    <w:family w:val="roman"/>
    <w:pitch w:val="variable"/>
  </w:font>
  <w:font w:name="Verdana">
    <w:charset w:val="01"/>
    <w:family w:val="swiss"/>
    <w:pitch w:val="variable"/>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2">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shape_0" adj="10800" fillcolor="silver" stroked="f" o:allowincell="f" style="position:absolute;margin-left:0pt;margin-top:318.7pt;width:453.45pt;height:70.6pt;mso-wrap-style:none;v-text-anchor:middle;rotation:315;mso-position-horizontal:center;mso-position-horizontal-relative:margin;mso-position-vertical:center;mso-position-vertical-relative:margin" type="_x0000_t136">
          <v:path textpathok="t"/>
          <v:textpath on="t" fitshape="t" string="Minuta de Edital" style="font-family:&quot;Liberation Sans&quot;;font-size:1pt" trim="t"/>
          <v:fill o:detectmouseclick="t" type="solid" color2="#3f3f3f" opacity="0.5"/>
          <v:stroke color="#3465a4" joinstyle="round" endcap="flat"/>
          <w10:wrap type="none"/>
        </v:shape>
      </w:pict>
    </w: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2">
          <wp:simplePos x="0" y="0"/>
          <wp:positionH relativeFrom="column">
            <wp:posOffset>-93345</wp:posOffset>
          </wp:positionH>
          <wp:positionV relativeFrom="paragraph">
            <wp:posOffset>9525</wp:posOffset>
          </wp:positionV>
          <wp:extent cx="618490" cy="513715"/>
          <wp:effectExtent l="0" t="0" r="0" b="0"/>
          <wp:wrapSquare wrapText="bothSides"/>
          <wp:docPr id="3"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pict>
        <v:shape id="PowerPlusWaterMarkObject" o:spid="shape_0" adj="10800" fillcolor="silver" stroked="f" o:allowincell="f" style="position:absolute;margin-left:0pt;margin-top:318.7pt;width:453.45pt;height:70.6pt;mso-wrap-style:none;v-text-anchor:middle;rotation:315;mso-position-horizontal:center;mso-position-horizontal-relative:margin;mso-position-vertical:center;mso-position-vertical-relative:margin" type="_x0000_t136">
          <v:path textpathok="t"/>
          <v:textpath on="t" fitshape="t" string="Minuta de Edital" style="font-family:&quot;Liberation Sans&quot;;font-size:1pt" trim="t"/>
          <v:fill o:detectmouseclick="t" type="solid" color2="#3f3f3f" opacity="0.5"/>
          <v:stroke color="#3465a4" joinstyle="round" endcap="flat"/>
          <w10:wrap type="none"/>
        </v:shape>
      </w:pict>
    </w: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bullet"/>
      <w:lvlText w:val=""/>
      <w:lvlJc w:val="left"/>
      <w:pPr>
        <w:tabs>
          <w:tab w:val="num" w:pos="788"/>
        </w:tabs>
        <w:ind w:left="788" w:hanging="360"/>
      </w:pPr>
      <w:rPr>
        <w:rFonts w:ascii="Wingdings" w:hAnsi="Wingdings" w:cs="Wingdings" w:hint="default"/>
        <w:sz w:val="19"/>
        <w:szCs w:val="19"/>
      </w:rPr>
    </w:lvl>
    <w:lvl w:ilvl="1">
      <w:start w:val="1"/>
      <w:numFmt w:val="bullet"/>
      <w:lvlText w:val="◦"/>
      <w:lvlJc w:val="left"/>
      <w:pPr>
        <w:tabs>
          <w:tab w:val="num" w:pos="1148"/>
        </w:tabs>
        <w:ind w:left="1148" w:hanging="360"/>
      </w:pPr>
      <w:rPr>
        <w:rFonts w:ascii="OpenSymbol" w:hAnsi="OpenSymbol" w:cs="OpenSymbol" w:hint="default"/>
        <w:sz w:val="19"/>
        <w:szCs w:val="19"/>
      </w:rPr>
    </w:lvl>
    <w:lvl w:ilvl="2">
      <w:start w:val="1"/>
      <w:numFmt w:val="bullet"/>
      <w:lvlText w:val="▪"/>
      <w:lvlJc w:val="left"/>
      <w:pPr>
        <w:tabs>
          <w:tab w:val="num" w:pos="1508"/>
        </w:tabs>
        <w:ind w:left="1508" w:hanging="360"/>
      </w:pPr>
      <w:rPr>
        <w:rFonts w:ascii="OpenSymbol" w:hAnsi="OpenSymbol" w:cs="OpenSymbol" w:hint="default"/>
        <w:sz w:val="19"/>
        <w:szCs w:val="19"/>
      </w:rPr>
    </w:lvl>
    <w:lvl w:ilvl="3">
      <w:start w:val="1"/>
      <w:numFmt w:val="bullet"/>
      <w:lvlText w:val=""/>
      <w:lvlJc w:val="left"/>
      <w:pPr>
        <w:tabs>
          <w:tab w:val="num" w:pos="1868"/>
        </w:tabs>
        <w:ind w:left="1868" w:hanging="360"/>
      </w:pPr>
      <w:rPr>
        <w:rFonts w:ascii="Symbol" w:hAnsi="Symbol" w:cs="Symbol" w:hint="default"/>
        <w:sz w:val="19"/>
        <w:szCs w:val="19"/>
      </w:rPr>
    </w:lvl>
    <w:lvl w:ilvl="4">
      <w:start w:val="1"/>
      <w:numFmt w:val="bullet"/>
      <w:lvlText w:val="◦"/>
      <w:lvlJc w:val="left"/>
      <w:pPr>
        <w:tabs>
          <w:tab w:val="num" w:pos="2228"/>
        </w:tabs>
        <w:ind w:left="2228" w:hanging="360"/>
      </w:pPr>
      <w:rPr>
        <w:rFonts w:ascii="OpenSymbol" w:hAnsi="OpenSymbol" w:cs="OpenSymbol" w:hint="default"/>
        <w:sz w:val="19"/>
        <w:szCs w:val="19"/>
      </w:rPr>
    </w:lvl>
    <w:lvl w:ilvl="5">
      <w:start w:val="1"/>
      <w:numFmt w:val="bullet"/>
      <w:lvlText w:val="▪"/>
      <w:lvlJc w:val="left"/>
      <w:pPr>
        <w:tabs>
          <w:tab w:val="num" w:pos="2588"/>
        </w:tabs>
        <w:ind w:left="2588" w:hanging="360"/>
      </w:pPr>
      <w:rPr>
        <w:rFonts w:ascii="OpenSymbol" w:hAnsi="OpenSymbol" w:cs="OpenSymbol" w:hint="default"/>
        <w:sz w:val="19"/>
        <w:szCs w:val="19"/>
      </w:rPr>
    </w:lvl>
    <w:lvl w:ilvl="6">
      <w:start w:val="1"/>
      <w:numFmt w:val="bullet"/>
      <w:lvlText w:val=""/>
      <w:lvlJc w:val="left"/>
      <w:pPr>
        <w:tabs>
          <w:tab w:val="num" w:pos="2948"/>
        </w:tabs>
        <w:ind w:left="2948" w:hanging="360"/>
      </w:pPr>
      <w:rPr>
        <w:rFonts w:ascii="Symbol" w:hAnsi="Symbol" w:cs="Symbol" w:hint="default"/>
        <w:sz w:val="19"/>
        <w:szCs w:val="19"/>
      </w:rPr>
    </w:lvl>
    <w:lvl w:ilvl="7">
      <w:start w:val="1"/>
      <w:numFmt w:val="bullet"/>
      <w:lvlText w:val="◦"/>
      <w:lvlJc w:val="left"/>
      <w:pPr>
        <w:tabs>
          <w:tab w:val="num" w:pos="3308"/>
        </w:tabs>
        <w:ind w:left="3308" w:hanging="360"/>
      </w:pPr>
      <w:rPr>
        <w:rFonts w:ascii="OpenSymbol" w:hAnsi="OpenSymbol" w:cs="OpenSymbol" w:hint="default"/>
        <w:sz w:val="19"/>
        <w:szCs w:val="19"/>
      </w:rPr>
    </w:lvl>
    <w:lvl w:ilvl="8">
      <w:start w:val="1"/>
      <w:numFmt w:val="bullet"/>
      <w:lvlText w:val="▪"/>
      <w:lvlJc w:val="left"/>
      <w:pPr>
        <w:tabs>
          <w:tab w:val="num" w:pos="3668"/>
        </w:tabs>
        <w:ind w:left="3668" w:hanging="360"/>
      </w:pPr>
      <w:rPr>
        <w:rFonts w:ascii="OpenSymbol" w:hAnsi="OpenSymbol" w:cs="OpenSymbol" w:hint="default"/>
        <w:sz w:val="19"/>
        <w:szCs w:val="19"/>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qFormat/>
    <w:rPr>
      <w:color w:val="000080"/>
      <w:u w:val="single"/>
    </w:rPr>
  </w:style>
  <w:style w:type="character" w:styleId="Hyperlink" w:customStyle="1">
    <w:name w:val="Hyperlink"/>
    <w:basedOn w:val="DefaultParagraphFont"/>
    <w:qFormat/>
    <w:rsid w:val="00d832df"/>
    <w:rPr>
      <w:color w:val="0563C1"/>
      <w:u w:val="single"/>
    </w:rPr>
  </w:style>
  <w:style w:type="character" w:styleId="Marcadores">
    <w:name w:val="Marcadores"/>
    <w:qFormat/>
    <w:rPr>
      <w:rFonts w:ascii="OpenSymbol" w:hAnsi="OpenSymbol" w:eastAsia="OpenSymbol" w:cs="OpenSymbol"/>
      <w:sz w:val="19"/>
      <w:szCs w:val="19"/>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comprasgovernamentais.gov.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http://www.comprasgovernamentai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yperlink" Target="mailto:licitacao@saogabriel.es.gov.br"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header" Target="header3.xml"/><Relationship Id="rId18" Type="http://schemas.openxmlformats.org/officeDocument/2006/relationships/footer" Target="footer1.xml"/><Relationship Id="rId19" Type="http://schemas.openxmlformats.org/officeDocument/2006/relationships/footer" Target="footer2.xml"/><Relationship Id="rId20" Type="http://schemas.openxmlformats.org/officeDocument/2006/relationships/footer" Target="footer3.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30</TotalTime>
  <Application>LibreOffice/24.2.6.2$Windows_X86_64 LibreOffice_project/ef66aa7e36a1bb8e65bfbc63aba53045a14d0871</Application>
  <AppVersion>15.0000</AppVersion>
  <Pages>21</Pages>
  <Words>9692</Words>
  <Characters>54764</Characters>
  <CharactersWithSpaces>64055</CharactersWithSpaces>
  <Paragraphs>359</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2024-07-11T17:34:00Z</dcterms:created>
  <dc:creator>Compras</dc:creator>
  <dc:description/>
  <dc:language>pt-BR</dc:language>
  <cp:lastModifiedBy/>
  <dcterms:modified xsi:type="dcterms:W3CDTF">2024-09-26T16:25:59Z</dcterms:modified>
  <cp:revision>6</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